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C1A75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sz w:val="44"/>
          <w:szCs w:val="44"/>
          <w:lang w:val="en-US" w:eastAsia="zh-CN"/>
        </w:rPr>
      </w:pPr>
      <w:r>
        <w:rPr>
          <w:rFonts w:hint="eastAsia" w:ascii="黑体" w:hAnsi="黑体" w:eastAsia="黑体" w:cs="黑体"/>
          <w:sz w:val="44"/>
          <w:szCs w:val="44"/>
          <w:lang w:val="en-US" w:eastAsia="zh-CN"/>
        </w:rPr>
        <w:t>新产品挂网试运行申请注意事项</w:t>
      </w:r>
    </w:p>
    <w:p w14:paraId="2B138C3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sz w:val="32"/>
          <w:szCs w:val="32"/>
          <w:lang w:val="en-US" w:eastAsia="zh-CN"/>
        </w:rPr>
      </w:pPr>
    </w:p>
    <w:p w14:paraId="5B86B183">
      <w:pPr>
        <w:keepNext w:val="0"/>
        <w:keepLines w:val="0"/>
        <w:pageBreakBefore w:val="0"/>
        <w:widowControl w:val="0"/>
        <w:numPr>
          <w:ilvl w:val="0"/>
          <w:numId w:val="1"/>
        </w:numPr>
        <w:kinsoku/>
        <w:wordWrap/>
        <w:overflowPunct/>
        <w:topLinePunct w:val="0"/>
        <w:autoSpaceDE/>
        <w:autoSpaceDN/>
        <w:bidi w:val="0"/>
        <w:adjustRightInd/>
        <w:snapToGrid/>
        <w:spacing w:line="560" w:lineRule="exact"/>
        <w:textAlignment w:val="auto"/>
        <w:outlineLvl w:val="0"/>
        <w:rPr>
          <w:rFonts w:hint="default" w:ascii="黑体" w:hAnsi="黑体" w:eastAsia="黑体" w:cs="黑体"/>
          <w:b/>
          <w:bCs/>
          <w:lang w:val="en-US" w:eastAsia="zh-CN"/>
        </w:rPr>
      </w:pPr>
      <w:r>
        <w:rPr>
          <w:rFonts w:hint="eastAsia" w:ascii="黑体" w:hAnsi="黑体" w:eastAsia="黑体" w:cs="黑体"/>
          <w:b/>
          <w:bCs/>
          <w:lang w:val="en-US" w:eastAsia="zh-CN"/>
        </w:rPr>
        <w:t>必要条件</w:t>
      </w:r>
    </w:p>
    <w:p w14:paraId="15862B2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cs="仿宋"/>
          <w:lang w:val="en-US" w:eastAsia="zh-CN"/>
        </w:rPr>
      </w:pPr>
      <w:r>
        <w:rPr>
          <w:rFonts w:hint="eastAsia" w:ascii="仿宋" w:hAnsi="仿宋" w:eastAsia="仿宋" w:cs="仿宋"/>
          <w:lang w:val="en-US" w:eastAsia="zh-CN"/>
        </w:rPr>
        <w:t>根据</w:t>
      </w:r>
      <w:r>
        <w:rPr>
          <w:rFonts w:hint="eastAsia" w:ascii="仿宋" w:hAnsi="仿宋" w:cs="仿宋"/>
          <w:lang w:val="en-US" w:eastAsia="zh-CN"/>
        </w:rPr>
        <w:t>国家规定及公司要求，新产品申报挂网试运行应具备以下条件：</w:t>
      </w:r>
    </w:p>
    <w:p w14:paraId="6E4F08C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一）通过鉴定。中国机械工业联合会、中国电力企业联合会、中国电机工程学会等行业协会，省级政府机构或其认可的省级行业协会组织（省属机械工业联合会、省属电机工程学会、省属软件行业协会等）出具的技术、成果、产品鉴定或软件产品证书均认定为有效鉴定报告。对安全生产影响较小的工器具类新产品，可不开展鉴定。</w:t>
      </w:r>
    </w:p>
    <w:p w14:paraId="18898F6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（二）具备CMA、CNAS等资质的检测机构出具的型式试验报告，对于暂无型式试验标准的，应提供含关键检测项的委托试验报告。</w:t>
      </w:r>
    </w:p>
    <w:p w14:paraId="73EA6C0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对安全生产影响较小的工器具类新产品应具备CMA、CNAS等资质的检测机构出具的试验报告，可不开展技术鉴定。</w:t>
      </w:r>
    </w:p>
    <w:p w14:paraId="7A4220FB">
      <w:pPr>
        <w:keepNext w:val="0"/>
        <w:keepLines w:val="0"/>
        <w:pageBreakBefore w:val="0"/>
        <w:widowControl w:val="0"/>
        <w:numPr>
          <w:ilvl w:val="0"/>
          <w:numId w:val="1"/>
        </w:numPr>
        <w:kinsoku/>
        <w:wordWrap/>
        <w:overflowPunct/>
        <w:topLinePunct w:val="0"/>
        <w:autoSpaceDE/>
        <w:autoSpaceDN/>
        <w:bidi w:val="0"/>
        <w:adjustRightInd/>
        <w:snapToGrid/>
        <w:spacing w:line="560" w:lineRule="exact"/>
        <w:textAlignment w:val="auto"/>
        <w:outlineLvl w:val="0"/>
        <w:rPr>
          <w:rFonts w:hint="default" w:ascii="黑体" w:hAnsi="黑体" w:eastAsia="黑体" w:cs="黑体"/>
          <w:b/>
          <w:bCs/>
          <w:lang w:val="en-US" w:eastAsia="zh-CN"/>
        </w:rPr>
      </w:pPr>
      <w:r>
        <w:rPr>
          <w:rFonts w:hint="eastAsia" w:ascii="黑体" w:hAnsi="黑体" w:eastAsia="黑体" w:cs="黑体"/>
          <w:b/>
          <w:bCs/>
          <w:lang w:val="en-US" w:eastAsia="zh-CN"/>
        </w:rPr>
        <w:t>新产品挂网试运行费用管理</w:t>
      </w:r>
    </w:p>
    <w:p w14:paraId="0A91CC1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（一）新产品挂网试运行实施单位和申请方是发生挂网试运行费用的主体，有关费用应参照国家、行业或企业标准确定，费用标准示例见下表。</w:t>
      </w:r>
    </w:p>
    <w:p w14:paraId="5663262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center"/>
        <w:textAlignment w:val="auto"/>
        <w:rPr>
          <w:rFonts w:hint="eastAsia" w:ascii="仿宋" w:hAnsi="仿宋" w:eastAsia="仿宋" w:cs="仿宋"/>
          <w:sz w:val="28"/>
          <w:szCs w:val="22"/>
          <w:lang w:val="en-US" w:eastAsia="zh-CN"/>
        </w:rPr>
      </w:pPr>
      <w:r>
        <w:rPr>
          <w:rFonts w:hint="eastAsia" w:ascii="仿宋" w:hAnsi="仿宋" w:cs="仿宋"/>
          <w:sz w:val="28"/>
          <w:szCs w:val="22"/>
          <w:lang w:val="en-US" w:eastAsia="zh-CN"/>
        </w:rPr>
        <w:t xml:space="preserve">表1 </w:t>
      </w:r>
      <w:r>
        <w:rPr>
          <w:rFonts w:hint="eastAsia" w:ascii="仿宋" w:hAnsi="仿宋" w:eastAsia="仿宋" w:cs="仿宋"/>
          <w:sz w:val="28"/>
          <w:szCs w:val="22"/>
          <w:lang w:val="en-US" w:eastAsia="zh-CN"/>
        </w:rPr>
        <w:t>新产品挂网试运行费用项目示例表</w:t>
      </w:r>
    </w:p>
    <w:tbl>
      <w:tblPr>
        <w:tblStyle w:val="9"/>
        <w:tblW w:w="950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08"/>
        <w:gridCol w:w="1265"/>
        <w:gridCol w:w="879"/>
        <w:gridCol w:w="809"/>
        <w:gridCol w:w="908"/>
        <w:gridCol w:w="2637"/>
        <w:gridCol w:w="2400"/>
      </w:tblGrid>
      <w:tr w14:paraId="3B6A1D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9" w:hRule="atLeast"/>
          <w:jc w:val="center"/>
        </w:trPr>
        <w:tc>
          <w:tcPr>
            <w:tcW w:w="608" w:type="dxa"/>
            <w:noWrap w:val="0"/>
            <w:vAlign w:val="center"/>
          </w:tcPr>
          <w:p w14:paraId="28A98367">
            <w:pPr>
              <w:spacing w:line="288" w:lineRule="auto"/>
              <w:jc w:val="center"/>
              <w:rPr>
                <w:rFonts w:hint="eastAsia" w:ascii="仿宋_GB2312" w:hAnsi="Times New Roman" w:eastAsia="仿宋_GB2312" w:cs="Times New Roman"/>
                <w:b/>
                <w:sz w:val="24"/>
                <w:szCs w:val="22"/>
              </w:rPr>
            </w:pPr>
            <w:r>
              <w:rPr>
                <w:rFonts w:hint="eastAsia" w:ascii="仿宋_GB2312" w:hAnsi="Times New Roman" w:eastAsia="仿宋_GB2312" w:cs="Times New Roman"/>
                <w:b/>
                <w:sz w:val="24"/>
                <w:szCs w:val="22"/>
              </w:rPr>
              <w:t>序号</w:t>
            </w:r>
          </w:p>
        </w:tc>
        <w:tc>
          <w:tcPr>
            <w:tcW w:w="1265" w:type="dxa"/>
            <w:noWrap w:val="0"/>
            <w:vAlign w:val="top"/>
          </w:tcPr>
          <w:p w14:paraId="5D475515">
            <w:pPr>
              <w:spacing w:line="288" w:lineRule="auto"/>
              <w:jc w:val="center"/>
              <w:rPr>
                <w:rFonts w:hint="eastAsia" w:ascii="仿宋_GB2312" w:hAnsi="Times New Roman" w:eastAsia="仿宋_GB2312" w:cs="Times New Roman"/>
                <w:b/>
                <w:sz w:val="24"/>
                <w:szCs w:val="22"/>
              </w:rPr>
            </w:pPr>
            <w:r>
              <w:rPr>
                <w:rFonts w:hint="eastAsia" w:ascii="仿宋_GB2312" w:hAnsi="Times New Roman" w:eastAsia="仿宋_GB2312" w:cs="Times New Roman"/>
                <w:b/>
                <w:sz w:val="24"/>
                <w:szCs w:val="22"/>
              </w:rPr>
              <w:t>项目名称</w:t>
            </w:r>
          </w:p>
        </w:tc>
        <w:tc>
          <w:tcPr>
            <w:tcW w:w="879" w:type="dxa"/>
            <w:tcBorders>
              <w:right w:val="single" w:color="auto" w:sz="4" w:space="0"/>
            </w:tcBorders>
            <w:noWrap w:val="0"/>
            <w:vAlign w:val="top"/>
          </w:tcPr>
          <w:p w14:paraId="791A7FEC">
            <w:pPr>
              <w:spacing w:line="288" w:lineRule="auto"/>
              <w:jc w:val="center"/>
              <w:rPr>
                <w:rFonts w:hint="eastAsia" w:ascii="仿宋_GB2312" w:hAnsi="Times New Roman" w:eastAsia="仿宋_GB2312" w:cs="Times New Roman"/>
                <w:b/>
                <w:sz w:val="24"/>
                <w:szCs w:val="22"/>
              </w:rPr>
            </w:pPr>
            <w:r>
              <w:rPr>
                <w:rFonts w:hint="eastAsia" w:ascii="仿宋_GB2312" w:hAnsi="Times New Roman" w:eastAsia="仿宋_GB2312" w:cs="Times New Roman"/>
                <w:b/>
                <w:sz w:val="24"/>
                <w:szCs w:val="22"/>
              </w:rPr>
              <w:t>收费部门</w:t>
            </w:r>
          </w:p>
        </w:tc>
        <w:tc>
          <w:tcPr>
            <w:tcW w:w="809" w:type="dxa"/>
            <w:tcBorders>
              <w:left w:val="single" w:color="auto" w:sz="4" w:space="0"/>
            </w:tcBorders>
            <w:noWrap w:val="0"/>
            <w:vAlign w:val="top"/>
          </w:tcPr>
          <w:p w14:paraId="078963E2">
            <w:pPr>
              <w:spacing w:line="288" w:lineRule="auto"/>
              <w:jc w:val="center"/>
              <w:rPr>
                <w:rFonts w:hint="eastAsia" w:ascii="仿宋_GB2312" w:hAnsi="Times New Roman" w:eastAsia="仿宋_GB2312" w:cs="Times New Roman"/>
                <w:b/>
                <w:sz w:val="24"/>
                <w:szCs w:val="22"/>
              </w:rPr>
            </w:pPr>
            <w:r>
              <w:rPr>
                <w:rFonts w:hint="eastAsia" w:ascii="仿宋_GB2312" w:hAnsi="Times New Roman" w:eastAsia="仿宋_GB2312" w:cs="Times New Roman"/>
                <w:b/>
                <w:sz w:val="24"/>
                <w:szCs w:val="22"/>
              </w:rPr>
              <w:t>缴费部门</w:t>
            </w:r>
          </w:p>
        </w:tc>
        <w:tc>
          <w:tcPr>
            <w:tcW w:w="908" w:type="dxa"/>
            <w:noWrap w:val="0"/>
            <w:vAlign w:val="top"/>
          </w:tcPr>
          <w:p w14:paraId="6595AB0D">
            <w:pPr>
              <w:spacing w:line="288" w:lineRule="auto"/>
              <w:jc w:val="center"/>
              <w:rPr>
                <w:rFonts w:hint="eastAsia" w:ascii="仿宋_GB2312" w:hAnsi="Times New Roman" w:eastAsia="仿宋_GB2312" w:cs="Times New Roman"/>
                <w:b/>
                <w:sz w:val="24"/>
                <w:szCs w:val="22"/>
              </w:rPr>
            </w:pPr>
            <w:r>
              <w:rPr>
                <w:rFonts w:hint="eastAsia" w:ascii="仿宋_GB2312" w:hAnsi="Times New Roman" w:eastAsia="仿宋_GB2312" w:cs="Times New Roman"/>
                <w:b/>
                <w:sz w:val="24"/>
                <w:szCs w:val="22"/>
              </w:rPr>
              <w:t>缴费时间</w:t>
            </w:r>
          </w:p>
        </w:tc>
        <w:tc>
          <w:tcPr>
            <w:tcW w:w="2637" w:type="dxa"/>
            <w:noWrap w:val="0"/>
            <w:vAlign w:val="top"/>
          </w:tcPr>
          <w:p w14:paraId="1AF4C3FA">
            <w:pPr>
              <w:tabs>
                <w:tab w:val="center" w:pos="1228"/>
                <w:tab w:val="right" w:pos="2456"/>
              </w:tabs>
              <w:spacing w:line="288" w:lineRule="auto"/>
              <w:jc w:val="center"/>
              <w:rPr>
                <w:rFonts w:hint="eastAsia" w:ascii="仿宋_GB2312" w:hAnsi="Times New Roman" w:eastAsia="仿宋_GB2312" w:cs="Times New Roman"/>
                <w:b/>
                <w:sz w:val="24"/>
                <w:szCs w:val="22"/>
              </w:rPr>
            </w:pPr>
            <w:r>
              <w:rPr>
                <w:rFonts w:hint="eastAsia" w:ascii="仿宋_GB2312" w:hAnsi="Times New Roman" w:eastAsia="仿宋_GB2312" w:cs="Times New Roman"/>
                <w:b/>
                <w:sz w:val="24"/>
                <w:szCs w:val="22"/>
              </w:rPr>
              <w:t>额度依据</w:t>
            </w:r>
          </w:p>
        </w:tc>
        <w:tc>
          <w:tcPr>
            <w:tcW w:w="2400" w:type="dxa"/>
            <w:noWrap w:val="0"/>
            <w:vAlign w:val="top"/>
          </w:tcPr>
          <w:p w14:paraId="483B6052">
            <w:pPr>
              <w:tabs>
                <w:tab w:val="center" w:pos="1228"/>
                <w:tab w:val="right" w:pos="2456"/>
              </w:tabs>
              <w:spacing w:line="288" w:lineRule="auto"/>
              <w:jc w:val="center"/>
              <w:rPr>
                <w:rFonts w:ascii="仿宋_GB2312" w:hAnsi="Times New Roman" w:eastAsia="仿宋_GB2312" w:cs="Times New Roman"/>
                <w:b/>
                <w:sz w:val="24"/>
                <w:szCs w:val="22"/>
              </w:rPr>
            </w:pPr>
            <w:r>
              <w:rPr>
                <w:rFonts w:hint="eastAsia" w:ascii="仿宋_GB2312" w:hAnsi="Times New Roman" w:eastAsia="仿宋_GB2312" w:cs="Times New Roman"/>
                <w:b/>
                <w:sz w:val="24"/>
                <w:szCs w:val="22"/>
              </w:rPr>
              <w:t>备注</w:t>
            </w:r>
          </w:p>
        </w:tc>
      </w:tr>
      <w:tr w14:paraId="2F07F4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9" w:hRule="atLeast"/>
          <w:jc w:val="center"/>
        </w:trPr>
        <w:tc>
          <w:tcPr>
            <w:tcW w:w="608" w:type="dxa"/>
            <w:noWrap w:val="0"/>
            <w:vAlign w:val="center"/>
          </w:tcPr>
          <w:p w14:paraId="0857D7E9">
            <w:pPr>
              <w:spacing w:line="288" w:lineRule="auto"/>
              <w:jc w:val="center"/>
              <w:rPr>
                <w:rFonts w:hint="eastAsia" w:ascii="仿宋_GB2312" w:hAnsi="Times New Roman" w:eastAsia="仿宋_GB2312" w:cs="Times New Roman"/>
                <w:b/>
                <w:sz w:val="24"/>
                <w:szCs w:val="22"/>
              </w:rPr>
            </w:pPr>
            <w:r>
              <w:rPr>
                <w:rFonts w:hint="eastAsia" w:ascii="仿宋_GB2312" w:hAnsi="Times New Roman" w:eastAsia="仿宋_GB2312" w:cs="Times New Roman"/>
                <w:b/>
                <w:sz w:val="24"/>
                <w:szCs w:val="22"/>
              </w:rPr>
              <w:t>1</w:t>
            </w:r>
          </w:p>
        </w:tc>
        <w:tc>
          <w:tcPr>
            <w:tcW w:w="8898" w:type="dxa"/>
            <w:gridSpan w:val="6"/>
            <w:noWrap w:val="0"/>
            <w:vAlign w:val="center"/>
          </w:tcPr>
          <w:p w14:paraId="00B59285">
            <w:pPr>
              <w:jc w:val="left"/>
              <w:rPr>
                <w:rFonts w:hint="eastAsia" w:ascii="仿宋_GB2312" w:hAnsi="Times New Roman" w:eastAsia="仿宋_GB2312" w:cs="Times New Roman"/>
                <w:b/>
                <w:sz w:val="24"/>
                <w:szCs w:val="22"/>
              </w:rPr>
            </w:pPr>
            <w:r>
              <w:rPr>
                <w:rFonts w:hint="eastAsia" w:ascii="仿宋_GB2312" w:hAnsi="Times New Roman" w:eastAsia="仿宋_GB2312" w:cs="Times New Roman"/>
                <w:b/>
                <w:sz w:val="24"/>
                <w:szCs w:val="22"/>
              </w:rPr>
              <w:t>产品费</w:t>
            </w:r>
          </w:p>
        </w:tc>
      </w:tr>
      <w:tr w14:paraId="634C6D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5" w:hRule="atLeast"/>
          <w:jc w:val="center"/>
        </w:trPr>
        <w:tc>
          <w:tcPr>
            <w:tcW w:w="608" w:type="dxa"/>
            <w:noWrap w:val="0"/>
            <w:vAlign w:val="center"/>
          </w:tcPr>
          <w:p w14:paraId="1C0C95AC">
            <w:pPr>
              <w:spacing w:line="288" w:lineRule="auto"/>
              <w:jc w:val="center"/>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1.1</w:t>
            </w:r>
          </w:p>
        </w:tc>
        <w:tc>
          <w:tcPr>
            <w:tcW w:w="1265" w:type="dxa"/>
            <w:noWrap w:val="0"/>
            <w:vAlign w:val="center"/>
          </w:tcPr>
          <w:p w14:paraId="16C737A1">
            <w:pPr>
              <w:spacing w:line="288" w:lineRule="auto"/>
              <w:jc w:val="center"/>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安装费</w:t>
            </w:r>
          </w:p>
        </w:tc>
        <w:tc>
          <w:tcPr>
            <w:tcW w:w="879" w:type="dxa"/>
            <w:tcBorders>
              <w:right w:val="single" w:color="auto" w:sz="4" w:space="0"/>
            </w:tcBorders>
            <w:noWrap w:val="0"/>
            <w:vAlign w:val="center"/>
          </w:tcPr>
          <w:p w14:paraId="679AB9CA">
            <w:pPr>
              <w:spacing w:line="288" w:lineRule="auto"/>
              <w:jc w:val="center"/>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实施单位</w:t>
            </w:r>
          </w:p>
        </w:tc>
        <w:tc>
          <w:tcPr>
            <w:tcW w:w="809" w:type="dxa"/>
            <w:tcBorders>
              <w:left w:val="single" w:color="auto" w:sz="4" w:space="0"/>
            </w:tcBorders>
            <w:noWrap w:val="0"/>
            <w:vAlign w:val="center"/>
          </w:tcPr>
          <w:p w14:paraId="0EC1E709">
            <w:pPr>
              <w:spacing w:line="288" w:lineRule="auto"/>
              <w:jc w:val="center"/>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申请方</w:t>
            </w:r>
          </w:p>
        </w:tc>
        <w:tc>
          <w:tcPr>
            <w:tcW w:w="908" w:type="dxa"/>
            <w:noWrap w:val="0"/>
            <w:vAlign w:val="center"/>
          </w:tcPr>
          <w:p w14:paraId="0C0A2B22">
            <w:pPr>
              <w:spacing w:line="288" w:lineRule="auto"/>
              <w:jc w:val="center"/>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试运行前</w:t>
            </w:r>
          </w:p>
        </w:tc>
        <w:tc>
          <w:tcPr>
            <w:tcW w:w="2637" w:type="dxa"/>
            <w:noWrap w:val="0"/>
            <w:vAlign w:val="center"/>
          </w:tcPr>
          <w:p w14:paraId="45EADD75">
            <w:pPr>
              <w:spacing w:line="288" w:lineRule="auto"/>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依据项目实际预算情况确定</w:t>
            </w:r>
          </w:p>
        </w:tc>
        <w:tc>
          <w:tcPr>
            <w:tcW w:w="2400" w:type="dxa"/>
            <w:noWrap w:val="0"/>
            <w:vAlign w:val="top"/>
          </w:tcPr>
          <w:p w14:paraId="29353274">
            <w:pPr>
              <w:spacing w:line="288" w:lineRule="auto"/>
              <w:rPr>
                <w:rFonts w:hint="eastAsia" w:ascii="仿宋_GB2312" w:hAnsi="Times New Roman" w:eastAsia="仿宋_GB2312" w:cs="Times New Roman"/>
                <w:sz w:val="24"/>
                <w:szCs w:val="22"/>
              </w:rPr>
            </w:pPr>
          </w:p>
        </w:tc>
      </w:tr>
      <w:tr w14:paraId="1FA0E0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7" w:hRule="atLeast"/>
          <w:jc w:val="center"/>
        </w:trPr>
        <w:tc>
          <w:tcPr>
            <w:tcW w:w="608" w:type="dxa"/>
            <w:noWrap w:val="0"/>
            <w:vAlign w:val="center"/>
          </w:tcPr>
          <w:p w14:paraId="3CE50A78">
            <w:pPr>
              <w:spacing w:line="288" w:lineRule="auto"/>
              <w:jc w:val="center"/>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1.2</w:t>
            </w:r>
          </w:p>
        </w:tc>
        <w:tc>
          <w:tcPr>
            <w:tcW w:w="1265" w:type="dxa"/>
            <w:noWrap w:val="0"/>
            <w:vAlign w:val="center"/>
          </w:tcPr>
          <w:p w14:paraId="77512075">
            <w:pPr>
              <w:spacing w:line="288" w:lineRule="auto"/>
              <w:jc w:val="center"/>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调试费</w:t>
            </w:r>
          </w:p>
        </w:tc>
        <w:tc>
          <w:tcPr>
            <w:tcW w:w="879" w:type="dxa"/>
            <w:tcBorders>
              <w:right w:val="single" w:color="auto" w:sz="4" w:space="0"/>
            </w:tcBorders>
            <w:noWrap w:val="0"/>
            <w:vAlign w:val="center"/>
          </w:tcPr>
          <w:p w14:paraId="241F451E">
            <w:pPr>
              <w:spacing w:line="288" w:lineRule="auto"/>
              <w:jc w:val="center"/>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实施单位</w:t>
            </w:r>
          </w:p>
        </w:tc>
        <w:tc>
          <w:tcPr>
            <w:tcW w:w="809" w:type="dxa"/>
            <w:tcBorders>
              <w:left w:val="single" w:color="auto" w:sz="4" w:space="0"/>
            </w:tcBorders>
            <w:noWrap w:val="0"/>
            <w:vAlign w:val="center"/>
          </w:tcPr>
          <w:p w14:paraId="35F7E488">
            <w:pPr>
              <w:spacing w:line="288" w:lineRule="auto"/>
              <w:jc w:val="center"/>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申请方</w:t>
            </w:r>
          </w:p>
        </w:tc>
        <w:tc>
          <w:tcPr>
            <w:tcW w:w="908" w:type="dxa"/>
            <w:noWrap w:val="0"/>
            <w:vAlign w:val="center"/>
          </w:tcPr>
          <w:p w14:paraId="4E678EC3">
            <w:pPr>
              <w:spacing w:line="288" w:lineRule="auto"/>
              <w:jc w:val="center"/>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试运行前</w:t>
            </w:r>
          </w:p>
        </w:tc>
        <w:tc>
          <w:tcPr>
            <w:tcW w:w="2637" w:type="dxa"/>
            <w:noWrap w:val="0"/>
            <w:vAlign w:val="center"/>
          </w:tcPr>
          <w:p w14:paraId="59261F97">
            <w:pPr>
              <w:spacing w:line="288" w:lineRule="auto"/>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《电力建设工程预算定额》</w:t>
            </w:r>
          </w:p>
        </w:tc>
        <w:tc>
          <w:tcPr>
            <w:tcW w:w="2400" w:type="dxa"/>
            <w:noWrap w:val="0"/>
            <w:vAlign w:val="top"/>
          </w:tcPr>
          <w:p w14:paraId="4565A686">
            <w:pPr>
              <w:spacing w:line="288" w:lineRule="auto"/>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按单体调试、分系统调试、整套自动调试等分类别计算</w:t>
            </w:r>
          </w:p>
        </w:tc>
      </w:tr>
      <w:tr w14:paraId="75AC8E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7" w:hRule="atLeast"/>
          <w:jc w:val="center"/>
        </w:trPr>
        <w:tc>
          <w:tcPr>
            <w:tcW w:w="608" w:type="dxa"/>
            <w:noWrap w:val="0"/>
            <w:vAlign w:val="center"/>
          </w:tcPr>
          <w:p w14:paraId="333DF617">
            <w:pPr>
              <w:spacing w:line="288" w:lineRule="auto"/>
              <w:jc w:val="center"/>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1.3</w:t>
            </w:r>
          </w:p>
        </w:tc>
        <w:tc>
          <w:tcPr>
            <w:tcW w:w="1265" w:type="dxa"/>
            <w:noWrap w:val="0"/>
            <w:vAlign w:val="center"/>
          </w:tcPr>
          <w:p w14:paraId="51D192D6">
            <w:pPr>
              <w:spacing w:line="288" w:lineRule="auto"/>
              <w:jc w:val="center"/>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运行检修费</w:t>
            </w:r>
          </w:p>
        </w:tc>
        <w:tc>
          <w:tcPr>
            <w:tcW w:w="879" w:type="dxa"/>
            <w:tcBorders>
              <w:right w:val="single" w:color="auto" w:sz="4" w:space="0"/>
            </w:tcBorders>
            <w:noWrap w:val="0"/>
            <w:vAlign w:val="center"/>
          </w:tcPr>
          <w:p w14:paraId="7C15B1ED">
            <w:pPr>
              <w:spacing w:line="288" w:lineRule="auto"/>
              <w:jc w:val="center"/>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实施单位</w:t>
            </w:r>
          </w:p>
        </w:tc>
        <w:tc>
          <w:tcPr>
            <w:tcW w:w="809" w:type="dxa"/>
            <w:tcBorders>
              <w:left w:val="single" w:color="auto" w:sz="4" w:space="0"/>
            </w:tcBorders>
            <w:noWrap w:val="0"/>
            <w:vAlign w:val="center"/>
          </w:tcPr>
          <w:p w14:paraId="5BEAD451">
            <w:pPr>
              <w:spacing w:line="288" w:lineRule="auto"/>
              <w:jc w:val="center"/>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申请方</w:t>
            </w:r>
          </w:p>
        </w:tc>
        <w:tc>
          <w:tcPr>
            <w:tcW w:w="908" w:type="dxa"/>
            <w:noWrap w:val="0"/>
            <w:vAlign w:val="center"/>
          </w:tcPr>
          <w:p w14:paraId="23DB7E20">
            <w:pPr>
              <w:spacing w:line="288" w:lineRule="auto"/>
              <w:jc w:val="center"/>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试运行前</w:t>
            </w:r>
          </w:p>
        </w:tc>
        <w:tc>
          <w:tcPr>
            <w:tcW w:w="2637" w:type="dxa"/>
            <w:noWrap w:val="0"/>
            <w:vAlign w:val="center"/>
          </w:tcPr>
          <w:p w14:paraId="792613C0">
            <w:pPr>
              <w:spacing w:line="288" w:lineRule="auto"/>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《南方电网公司生产项目准入及预算标准》</w:t>
            </w:r>
          </w:p>
        </w:tc>
        <w:tc>
          <w:tcPr>
            <w:tcW w:w="2400" w:type="dxa"/>
            <w:noWrap w:val="0"/>
            <w:vAlign w:val="top"/>
          </w:tcPr>
          <w:p w14:paraId="584D3D5A">
            <w:pPr>
              <w:spacing w:line="288" w:lineRule="auto"/>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综合考虑输变电、线路等各类不同性质工程进行计算</w:t>
            </w:r>
          </w:p>
        </w:tc>
      </w:tr>
      <w:tr w14:paraId="67B534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67" w:hRule="atLeast"/>
          <w:jc w:val="center"/>
        </w:trPr>
        <w:tc>
          <w:tcPr>
            <w:tcW w:w="608" w:type="dxa"/>
            <w:noWrap w:val="0"/>
            <w:vAlign w:val="center"/>
          </w:tcPr>
          <w:p w14:paraId="2BE0EC94">
            <w:pPr>
              <w:spacing w:line="288" w:lineRule="auto"/>
              <w:jc w:val="center"/>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1.4</w:t>
            </w:r>
          </w:p>
        </w:tc>
        <w:tc>
          <w:tcPr>
            <w:tcW w:w="1265" w:type="dxa"/>
            <w:noWrap w:val="0"/>
            <w:vAlign w:val="center"/>
          </w:tcPr>
          <w:p w14:paraId="577AB191">
            <w:pPr>
              <w:jc w:val="center"/>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拆除费</w:t>
            </w:r>
          </w:p>
        </w:tc>
        <w:tc>
          <w:tcPr>
            <w:tcW w:w="879" w:type="dxa"/>
            <w:tcBorders>
              <w:right w:val="single" w:color="auto" w:sz="4" w:space="0"/>
            </w:tcBorders>
            <w:noWrap w:val="0"/>
            <w:vAlign w:val="center"/>
          </w:tcPr>
          <w:p w14:paraId="42070986">
            <w:pPr>
              <w:jc w:val="center"/>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实施单位</w:t>
            </w:r>
          </w:p>
        </w:tc>
        <w:tc>
          <w:tcPr>
            <w:tcW w:w="809" w:type="dxa"/>
            <w:tcBorders>
              <w:left w:val="single" w:color="auto" w:sz="4" w:space="0"/>
            </w:tcBorders>
            <w:noWrap w:val="0"/>
            <w:vAlign w:val="center"/>
          </w:tcPr>
          <w:p w14:paraId="316906EF">
            <w:pPr>
              <w:spacing w:line="288" w:lineRule="auto"/>
              <w:jc w:val="center"/>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申请方</w:t>
            </w:r>
          </w:p>
        </w:tc>
        <w:tc>
          <w:tcPr>
            <w:tcW w:w="908" w:type="dxa"/>
            <w:noWrap w:val="0"/>
            <w:vAlign w:val="center"/>
          </w:tcPr>
          <w:p w14:paraId="34F6C4A7">
            <w:pPr>
              <w:jc w:val="center"/>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试运行后</w:t>
            </w:r>
          </w:p>
        </w:tc>
        <w:tc>
          <w:tcPr>
            <w:tcW w:w="2637" w:type="dxa"/>
            <w:noWrap w:val="0"/>
            <w:vAlign w:val="center"/>
          </w:tcPr>
          <w:p w14:paraId="0DF7449B">
            <w:pPr>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《电力建设工程预算定额》</w:t>
            </w:r>
          </w:p>
        </w:tc>
        <w:tc>
          <w:tcPr>
            <w:tcW w:w="2400" w:type="dxa"/>
            <w:noWrap w:val="0"/>
            <w:vAlign w:val="top"/>
          </w:tcPr>
          <w:p w14:paraId="46530E01">
            <w:pPr>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试运行后未批准同意保留使用的产品，由新产品申请方承担拆除费用</w:t>
            </w:r>
          </w:p>
        </w:tc>
      </w:tr>
      <w:tr w14:paraId="592745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9" w:hRule="atLeast"/>
          <w:jc w:val="center"/>
        </w:trPr>
        <w:tc>
          <w:tcPr>
            <w:tcW w:w="608" w:type="dxa"/>
            <w:noWrap w:val="0"/>
            <w:vAlign w:val="center"/>
          </w:tcPr>
          <w:p w14:paraId="375DA798">
            <w:pPr>
              <w:spacing w:line="288" w:lineRule="auto"/>
              <w:jc w:val="center"/>
              <w:rPr>
                <w:rFonts w:hint="eastAsia" w:ascii="仿宋_GB2312" w:hAnsi="Times New Roman" w:eastAsia="仿宋_GB2312" w:cs="Times New Roman"/>
                <w:b/>
                <w:sz w:val="24"/>
                <w:szCs w:val="22"/>
              </w:rPr>
            </w:pPr>
            <w:r>
              <w:rPr>
                <w:rFonts w:hint="eastAsia" w:ascii="仿宋_GB2312" w:hAnsi="Times New Roman" w:eastAsia="仿宋_GB2312" w:cs="Times New Roman"/>
                <w:b/>
                <w:sz w:val="24"/>
                <w:szCs w:val="22"/>
              </w:rPr>
              <w:t>2</w:t>
            </w:r>
          </w:p>
        </w:tc>
        <w:tc>
          <w:tcPr>
            <w:tcW w:w="8898" w:type="dxa"/>
            <w:gridSpan w:val="6"/>
            <w:noWrap w:val="0"/>
            <w:vAlign w:val="center"/>
          </w:tcPr>
          <w:p w14:paraId="02157E60">
            <w:pPr>
              <w:rPr>
                <w:rFonts w:hint="eastAsia" w:ascii="仿宋_GB2312" w:hAnsi="Times New Roman" w:eastAsia="仿宋_GB2312" w:cs="Times New Roman"/>
                <w:b/>
                <w:sz w:val="24"/>
                <w:szCs w:val="22"/>
              </w:rPr>
            </w:pPr>
            <w:r>
              <w:rPr>
                <w:rFonts w:hint="eastAsia" w:ascii="仿宋_GB2312" w:hAnsi="Times New Roman" w:eastAsia="仿宋_GB2312" w:cs="Times New Roman"/>
                <w:b/>
                <w:sz w:val="24"/>
                <w:szCs w:val="22"/>
              </w:rPr>
              <w:t>商业保险费</w:t>
            </w:r>
          </w:p>
        </w:tc>
      </w:tr>
      <w:tr w14:paraId="0A9F8E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5" w:hRule="atLeast"/>
          <w:jc w:val="center"/>
        </w:trPr>
        <w:tc>
          <w:tcPr>
            <w:tcW w:w="608" w:type="dxa"/>
            <w:noWrap w:val="0"/>
            <w:vAlign w:val="center"/>
          </w:tcPr>
          <w:p w14:paraId="63D948F0">
            <w:pPr>
              <w:spacing w:line="288" w:lineRule="auto"/>
              <w:jc w:val="center"/>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2.1</w:t>
            </w:r>
          </w:p>
        </w:tc>
        <w:tc>
          <w:tcPr>
            <w:tcW w:w="1265" w:type="dxa"/>
            <w:noWrap w:val="0"/>
            <w:vAlign w:val="center"/>
          </w:tcPr>
          <w:p w14:paraId="62A9CE10">
            <w:pPr>
              <w:spacing w:line="288" w:lineRule="auto"/>
              <w:jc w:val="center"/>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产品质量险</w:t>
            </w:r>
          </w:p>
        </w:tc>
        <w:tc>
          <w:tcPr>
            <w:tcW w:w="879" w:type="dxa"/>
            <w:tcBorders>
              <w:right w:val="single" w:color="auto" w:sz="4" w:space="0"/>
            </w:tcBorders>
            <w:noWrap w:val="0"/>
            <w:vAlign w:val="center"/>
          </w:tcPr>
          <w:p w14:paraId="6805A2C3">
            <w:pPr>
              <w:spacing w:line="288" w:lineRule="auto"/>
              <w:jc w:val="center"/>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实施单位</w:t>
            </w:r>
          </w:p>
        </w:tc>
        <w:tc>
          <w:tcPr>
            <w:tcW w:w="809" w:type="dxa"/>
            <w:tcBorders>
              <w:left w:val="single" w:color="auto" w:sz="4" w:space="0"/>
            </w:tcBorders>
            <w:noWrap w:val="0"/>
            <w:vAlign w:val="center"/>
          </w:tcPr>
          <w:p w14:paraId="57417AF4">
            <w:pPr>
              <w:spacing w:line="288" w:lineRule="auto"/>
              <w:jc w:val="center"/>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申请方</w:t>
            </w:r>
          </w:p>
        </w:tc>
        <w:tc>
          <w:tcPr>
            <w:tcW w:w="908" w:type="dxa"/>
            <w:noWrap w:val="0"/>
            <w:vAlign w:val="center"/>
          </w:tcPr>
          <w:p w14:paraId="09BB13D4">
            <w:pPr>
              <w:spacing w:line="288" w:lineRule="auto"/>
              <w:jc w:val="center"/>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试运行前</w:t>
            </w:r>
          </w:p>
        </w:tc>
        <w:tc>
          <w:tcPr>
            <w:tcW w:w="2637" w:type="dxa"/>
            <w:noWrap w:val="0"/>
            <w:vAlign w:val="center"/>
          </w:tcPr>
          <w:p w14:paraId="68222C9A">
            <w:pPr>
              <w:spacing w:line="288" w:lineRule="auto"/>
              <w:jc w:val="left"/>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投保额度原则上应按设备全款缴纳</w:t>
            </w:r>
          </w:p>
        </w:tc>
        <w:tc>
          <w:tcPr>
            <w:tcW w:w="2400" w:type="dxa"/>
            <w:noWrap w:val="0"/>
            <w:vAlign w:val="center"/>
          </w:tcPr>
          <w:p w14:paraId="5EA516AA">
            <w:pPr>
              <w:spacing w:line="288" w:lineRule="auto"/>
              <w:jc w:val="center"/>
              <w:rPr>
                <w:rFonts w:hint="eastAsia" w:ascii="仿宋_GB2312" w:hAnsi="Times New Roman" w:eastAsia="仿宋_GB2312" w:cs="Times New Roman"/>
                <w:sz w:val="24"/>
                <w:szCs w:val="22"/>
              </w:rPr>
            </w:pPr>
          </w:p>
        </w:tc>
      </w:tr>
      <w:tr w14:paraId="6CF87C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78" w:hRule="atLeast"/>
          <w:jc w:val="center"/>
        </w:trPr>
        <w:tc>
          <w:tcPr>
            <w:tcW w:w="608" w:type="dxa"/>
            <w:noWrap w:val="0"/>
            <w:vAlign w:val="center"/>
          </w:tcPr>
          <w:p w14:paraId="6B1A49FA">
            <w:pPr>
              <w:spacing w:line="288" w:lineRule="auto"/>
              <w:jc w:val="center"/>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2.2</w:t>
            </w:r>
          </w:p>
        </w:tc>
        <w:tc>
          <w:tcPr>
            <w:tcW w:w="1265" w:type="dxa"/>
            <w:noWrap w:val="0"/>
            <w:vAlign w:val="center"/>
          </w:tcPr>
          <w:p w14:paraId="72E0AEAC">
            <w:pPr>
              <w:spacing w:line="288" w:lineRule="auto"/>
              <w:jc w:val="center"/>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产品责任险</w:t>
            </w:r>
          </w:p>
        </w:tc>
        <w:tc>
          <w:tcPr>
            <w:tcW w:w="879" w:type="dxa"/>
            <w:tcBorders>
              <w:right w:val="single" w:color="auto" w:sz="4" w:space="0"/>
            </w:tcBorders>
            <w:noWrap w:val="0"/>
            <w:vAlign w:val="center"/>
          </w:tcPr>
          <w:p w14:paraId="0580E79D">
            <w:pPr>
              <w:spacing w:line="288" w:lineRule="auto"/>
              <w:jc w:val="center"/>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实施单位</w:t>
            </w:r>
          </w:p>
        </w:tc>
        <w:tc>
          <w:tcPr>
            <w:tcW w:w="809" w:type="dxa"/>
            <w:tcBorders>
              <w:left w:val="single" w:color="auto" w:sz="4" w:space="0"/>
            </w:tcBorders>
            <w:noWrap w:val="0"/>
            <w:vAlign w:val="center"/>
          </w:tcPr>
          <w:p w14:paraId="3698EBBF">
            <w:pPr>
              <w:spacing w:line="288" w:lineRule="auto"/>
              <w:jc w:val="center"/>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申请方</w:t>
            </w:r>
          </w:p>
        </w:tc>
        <w:tc>
          <w:tcPr>
            <w:tcW w:w="908" w:type="dxa"/>
            <w:noWrap w:val="0"/>
            <w:vAlign w:val="center"/>
          </w:tcPr>
          <w:p w14:paraId="2AFBA306">
            <w:pPr>
              <w:spacing w:line="288" w:lineRule="auto"/>
              <w:jc w:val="center"/>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试运行前</w:t>
            </w:r>
          </w:p>
        </w:tc>
        <w:tc>
          <w:tcPr>
            <w:tcW w:w="2637" w:type="dxa"/>
            <w:noWrap w:val="0"/>
            <w:vAlign w:val="top"/>
          </w:tcPr>
          <w:p w14:paraId="1DE4F709">
            <w:pPr>
              <w:spacing w:line="288" w:lineRule="auto"/>
              <w:rPr>
                <w:rFonts w:hint="eastAsia" w:ascii="仿宋_GB2312" w:hAnsi="Times New Roman" w:eastAsia="仿宋_GB2312" w:cs="Times New Roman"/>
                <w:sz w:val="24"/>
                <w:szCs w:val="22"/>
              </w:rPr>
            </w:pPr>
            <w:r>
              <w:rPr>
                <w:rFonts w:hint="eastAsia" w:ascii="仿宋_GB2312" w:hAnsi="Times New Roman" w:eastAsia="仿宋_GB2312" w:cs="Times New Roman"/>
                <w:sz w:val="24"/>
                <w:szCs w:val="22"/>
              </w:rPr>
              <w:t>投保额度由挂网试运行实施单位进行评估确定</w:t>
            </w:r>
          </w:p>
        </w:tc>
        <w:tc>
          <w:tcPr>
            <w:tcW w:w="2400" w:type="dxa"/>
            <w:noWrap w:val="0"/>
            <w:vAlign w:val="center"/>
          </w:tcPr>
          <w:p w14:paraId="35A31111">
            <w:pPr>
              <w:spacing w:line="288" w:lineRule="auto"/>
              <w:jc w:val="center"/>
              <w:rPr>
                <w:rFonts w:hint="eastAsia" w:ascii="仿宋_GB2312" w:hAnsi="Times New Roman" w:eastAsia="仿宋_GB2312" w:cs="Times New Roman"/>
                <w:sz w:val="24"/>
                <w:szCs w:val="22"/>
              </w:rPr>
            </w:pPr>
          </w:p>
        </w:tc>
      </w:tr>
    </w:tbl>
    <w:p w14:paraId="76DAC78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（二）新产品原则上由申请方无偿提供，对设备费用较高的所涉及安装费、调试费、拆除费等可由双方协商解决，其中需要申请方承担的费用（拆除费除外）需在项目试运行前交纳。</w:t>
      </w:r>
    </w:p>
    <w:p w14:paraId="129CDD3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三）新产品申请方应向实施单位交纳运行检修费，主要包括挂网试运行产品的日常检测、试验、检修和运行所产生的费用，额度依据《南方电网公司生产项目准入及预算标准》计算后确定，于挂网试运行前交纳。</w:t>
      </w:r>
    </w:p>
    <w:p w14:paraId="0F623B1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（四）新产品申请方应充分利用商业保险等经济手段转移新产品的使用风险。商业保险的赔偿限额应能充分保障事故造成的损失，基本险种应包括：</w:t>
      </w:r>
    </w:p>
    <w:p w14:paraId="5B200B9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1．产品质量险。用以对新产品本身的损毁进行保障（包括零部件的修复重置、产品更换退货及以上原因引起的运杂费等）。投保额度原则上应按设备全款缴纳。</w:t>
      </w:r>
    </w:p>
    <w:p w14:paraId="2185AB3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2．产品责任险。用以对新产品造成的第三者人身伤害或财产损失进行赔偿。投保期限需满足挂网试运行时间，投保额度由挂网试运行实施单位进行评估确定。</w:t>
      </w:r>
    </w:p>
    <w:p w14:paraId="7B0BF42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default" w:ascii="仿宋" w:hAnsi="仿宋" w:cs="仿宋"/>
          <w:lang w:val="en-US" w:eastAsia="zh-CN"/>
        </w:rPr>
      </w:pPr>
      <w:r>
        <w:rPr>
          <w:rFonts w:hint="eastAsia" w:ascii="仿宋" w:hAnsi="仿宋" w:eastAsia="仿宋" w:cs="仿宋"/>
          <w:lang w:val="en-US" w:eastAsia="zh-CN"/>
        </w:rPr>
        <w:t>（五）新产品挂网试运行费用按公司有关财务管理相关规定管理。</w:t>
      </w:r>
    </w:p>
    <w:p w14:paraId="55877CC4">
      <w:pPr>
        <w:keepNext w:val="0"/>
        <w:keepLines w:val="0"/>
        <w:pageBreakBefore w:val="0"/>
        <w:widowControl w:val="0"/>
        <w:numPr>
          <w:ilvl w:val="0"/>
          <w:numId w:val="1"/>
        </w:numPr>
        <w:kinsoku/>
        <w:wordWrap/>
        <w:overflowPunct/>
        <w:topLinePunct w:val="0"/>
        <w:autoSpaceDE/>
        <w:autoSpaceDN/>
        <w:bidi w:val="0"/>
        <w:adjustRightInd/>
        <w:snapToGrid/>
        <w:spacing w:line="560" w:lineRule="exact"/>
        <w:textAlignment w:val="auto"/>
        <w:outlineLvl w:val="0"/>
        <w:rPr>
          <w:rFonts w:hint="eastAsia" w:ascii="黑体" w:hAnsi="黑体" w:eastAsia="黑体" w:cs="黑体"/>
          <w:b/>
          <w:bCs/>
          <w:lang w:val="en-US" w:eastAsia="zh-CN"/>
        </w:rPr>
      </w:pPr>
      <w:r>
        <w:rPr>
          <w:rFonts w:hint="eastAsia" w:ascii="黑体" w:hAnsi="黑体" w:eastAsia="黑体" w:cs="黑体"/>
          <w:b/>
          <w:bCs/>
          <w:lang w:val="en-US" w:eastAsia="zh-CN"/>
        </w:rPr>
        <w:t>工作流程</w:t>
      </w:r>
    </w:p>
    <w:p w14:paraId="48CDE943">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textAlignment w:val="auto"/>
        <w:outlineLvl w:val="1"/>
        <w:rPr>
          <w:rFonts w:hint="eastAsia" w:ascii="仿宋" w:hAnsi="仿宋" w:cs="仿宋"/>
          <w:lang w:val="en-US" w:eastAsia="zh-CN"/>
        </w:rPr>
      </w:pPr>
      <w:r>
        <w:rPr>
          <w:rFonts w:hint="eastAsia" w:ascii="仿宋" w:hAnsi="仿宋" w:cs="仿宋"/>
          <w:lang w:val="en-US" w:eastAsia="zh-CN"/>
        </w:rPr>
        <w:t>新产品挂网试运行可行性评估</w:t>
      </w:r>
    </w:p>
    <w:p w14:paraId="636831E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outlineLvl w:val="9"/>
        <w:rPr>
          <w:rFonts w:hint="eastAsia" w:ascii="仿宋" w:hAnsi="仿宋" w:cs="仿宋"/>
          <w:lang w:val="en-US" w:eastAsia="zh-CN"/>
        </w:rPr>
      </w:pPr>
      <w:r>
        <w:rPr>
          <w:rFonts w:hint="eastAsia" w:ascii="仿宋" w:hAnsi="仿宋" w:cs="仿宋"/>
          <w:lang w:val="en-US" w:eastAsia="zh-CN"/>
        </w:rPr>
        <w:t>对征集的挂网试运行申报项目由南方电网公司组织开展新产品挂网试运行可行性评估，包括以下内容：</w:t>
      </w:r>
    </w:p>
    <w:p w14:paraId="4C7186B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outlineLvl w:val="9"/>
        <w:rPr>
          <w:rFonts w:hint="eastAsia" w:ascii="仿宋" w:hAnsi="仿宋" w:cs="仿宋"/>
          <w:lang w:val="en-US" w:eastAsia="zh-CN"/>
        </w:rPr>
      </w:pPr>
      <w:r>
        <w:rPr>
          <w:rFonts w:hint="eastAsia" w:ascii="仿宋" w:hAnsi="仿宋" w:cs="仿宋"/>
          <w:lang w:val="en-US" w:eastAsia="zh-CN"/>
        </w:rPr>
        <w:t>1．新产品的技术成熟度，包括技术鉴定、检测技术报告是否满足要求，评审技术先进性、应用必要性和挂网试运行的可行性。</w:t>
      </w:r>
    </w:p>
    <w:p w14:paraId="3A72694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outlineLvl w:val="9"/>
        <w:rPr>
          <w:rFonts w:hint="eastAsia" w:ascii="仿宋" w:hAnsi="仿宋" w:cs="仿宋"/>
          <w:lang w:val="en-US" w:eastAsia="zh-CN"/>
        </w:rPr>
      </w:pPr>
      <w:r>
        <w:rPr>
          <w:rFonts w:hint="eastAsia" w:ascii="仿宋" w:hAnsi="仿宋" w:cs="仿宋"/>
          <w:lang w:val="en-US" w:eastAsia="zh-CN"/>
        </w:rPr>
        <w:t>2．挂网试运行安全风险，从人身、电网、设备、网络安全等方面对安全风险进行评估。</w:t>
      </w:r>
    </w:p>
    <w:p w14:paraId="70087D7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outlineLvl w:val="9"/>
        <w:rPr>
          <w:rFonts w:hint="eastAsia" w:ascii="仿宋" w:hAnsi="仿宋" w:cs="仿宋"/>
          <w:lang w:val="en-US" w:eastAsia="zh-CN"/>
        </w:rPr>
      </w:pPr>
      <w:r>
        <w:rPr>
          <w:rFonts w:hint="eastAsia" w:ascii="仿宋" w:hAnsi="仿宋" w:cs="仿宋"/>
          <w:lang w:val="en-US" w:eastAsia="zh-CN"/>
        </w:rPr>
        <w:t>3．关键元器件、材料、软件、系统的自主可控情况。</w:t>
      </w:r>
    </w:p>
    <w:p w14:paraId="49C52C7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outlineLvl w:val="9"/>
        <w:rPr>
          <w:rFonts w:hint="eastAsia" w:ascii="仿宋" w:hAnsi="仿宋" w:cs="仿宋"/>
          <w:lang w:val="en-US" w:eastAsia="zh-CN"/>
        </w:rPr>
      </w:pPr>
      <w:r>
        <w:rPr>
          <w:rFonts w:hint="eastAsia" w:ascii="仿宋" w:hAnsi="仿宋" w:cs="仿宋"/>
          <w:lang w:val="en-US" w:eastAsia="zh-CN"/>
        </w:rPr>
        <w:t>4．新产品生产企业是否取得相应的资质认证、是否具备较强的研发实力和生产能力、是否具备完善的质量与售后保障能力等。</w:t>
      </w:r>
    </w:p>
    <w:p w14:paraId="5A21BE2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outlineLvl w:val="9"/>
        <w:rPr>
          <w:rFonts w:hint="eastAsia" w:ascii="仿宋" w:hAnsi="仿宋" w:cs="仿宋"/>
          <w:lang w:val="en-US" w:eastAsia="zh-CN"/>
        </w:rPr>
      </w:pPr>
      <w:r>
        <w:rPr>
          <w:rFonts w:hint="eastAsia" w:ascii="仿宋" w:hAnsi="仿宋" w:cs="仿宋"/>
          <w:lang w:val="en-US" w:eastAsia="zh-CN"/>
        </w:rPr>
        <w:t>5．新产品的适用范围、应用条件、保障措施。</w:t>
      </w:r>
    </w:p>
    <w:p w14:paraId="1D4DE26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outlineLvl w:val="9"/>
        <w:rPr>
          <w:rFonts w:hint="default" w:ascii="仿宋" w:hAnsi="仿宋" w:cs="仿宋"/>
          <w:lang w:val="en-US" w:eastAsia="zh-CN"/>
        </w:rPr>
      </w:pPr>
      <w:r>
        <w:rPr>
          <w:rFonts w:hint="eastAsia" w:ascii="仿宋" w:hAnsi="仿宋" w:cs="仿宋"/>
          <w:lang w:val="en-US" w:eastAsia="zh-CN"/>
        </w:rPr>
        <w:t>6. 新产品进行挂网试运行，10kV及以上一、二次主设备类新产品挂网试运行原则上不得超过10台（套），其余辅助设备、工器具、用电计量设备，根据具体产品验证各类运行条件及工况所需数量，经公司各专业评审组评估后确定。</w:t>
      </w:r>
    </w:p>
    <w:p w14:paraId="250C61CD">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textAlignment w:val="auto"/>
        <w:outlineLvl w:val="1"/>
        <w:rPr>
          <w:rFonts w:hint="eastAsia" w:ascii="仿宋" w:hAnsi="仿宋" w:cs="仿宋"/>
          <w:lang w:val="en-US" w:eastAsia="zh-CN"/>
        </w:rPr>
      </w:pPr>
      <w:r>
        <w:rPr>
          <w:rFonts w:hint="eastAsia" w:ascii="仿宋" w:hAnsi="仿宋" w:cs="仿宋"/>
          <w:lang w:val="en-US" w:eastAsia="zh-CN"/>
        </w:rPr>
        <w:t>开展挂网试运行</w:t>
      </w:r>
    </w:p>
    <w:p w14:paraId="27BA0D5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outlineLvl w:val="9"/>
        <w:rPr>
          <w:rFonts w:hint="default" w:ascii="仿宋" w:hAnsi="仿宋" w:eastAsia="仿宋" w:cs="仿宋"/>
          <w:sz w:val="32"/>
          <w:szCs w:val="32"/>
          <w:lang w:val="en-US" w:eastAsia="zh-CN"/>
        </w:rPr>
      </w:pPr>
      <w:r>
        <w:rPr>
          <w:rFonts w:hint="eastAsia" w:ascii="仿宋" w:hAnsi="仿宋" w:cs="仿宋"/>
          <w:sz w:val="32"/>
          <w:szCs w:val="32"/>
          <w:lang w:val="en-US" w:eastAsia="zh-CN"/>
        </w:rPr>
        <w:t>通过挂网试运行可行性评审的项目，纳入公司挂网试运行计划，由南方电网公司安排系统内相关单位负责实施。</w:t>
      </w:r>
    </w:p>
    <w:p w14:paraId="6B9F808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outlineLvl w:val="9"/>
        <w:rPr>
          <w:rFonts w:hint="eastAsia" w:ascii="仿宋" w:hAnsi="仿宋" w:cs="仿宋"/>
          <w:sz w:val="32"/>
          <w:szCs w:val="32"/>
          <w:lang w:val="en-US" w:eastAsia="zh-CN"/>
        </w:rPr>
      </w:pPr>
      <w:r>
        <w:rPr>
          <w:rFonts w:hint="eastAsia" w:ascii="仿宋" w:hAnsi="仿宋" w:cs="仿宋"/>
          <w:sz w:val="32"/>
          <w:szCs w:val="32"/>
          <w:lang w:val="en-US" w:eastAsia="zh-CN"/>
        </w:rPr>
        <w:t>1.实施单位应组织申请方对挂网试运行涉及的调度运行、生产运行及安全生产管理人员开展培训，掌握新产品的运行特性、参数，将相关要求落实到运行规程。</w:t>
      </w:r>
    </w:p>
    <w:p w14:paraId="19C173D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outlineLvl w:val="9"/>
        <w:rPr>
          <w:rFonts w:hint="eastAsia" w:ascii="仿宋" w:hAnsi="仿宋" w:cs="仿宋"/>
          <w:sz w:val="32"/>
          <w:szCs w:val="32"/>
          <w:lang w:val="en-US" w:eastAsia="zh-CN"/>
        </w:rPr>
      </w:pPr>
      <w:r>
        <w:rPr>
          <w:rFonts w:hint="eastAsia" w:ascii="仿宋" w:hAnsi="仿宋" w:cs="仿宋"/>
          <w:sz w:val="32"/>
          <w:szCs w:val="32"/>
          <w:lang w:val="en-US" w:eastAsia="zh-CN"/>
        </w:rPr>
        <w:t>2.实施单位应与挂网试运行申请方签订书面协议，明确双方在试运行期间的权利和义务，落实挂网试运行风险规避措施，督查挂网试运行申请方购买相关保险。</w:t>
      </w:r>
    </w:p>
    <w:p w14:paraId="65404A0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outlineLvl w:val="9"/>
        <w:rPr>
          <w:rFonts w:hint="eastAsia" w:ascii="仿宋" w:hAnsi="仿宋" w:cs="仿宋"/>
          <w:sz w:val="32"/>
          <w:szCs w:val="32"/>
          <w:lang w:val="en-US" w:eastAsia="zh-CN"/>
        </w:rPr>
      </w:pPr>
      <w:r>
        <w:rPr>
          <w:rFonts w:hint="eastAsia" w:ascii="仿宋" w:hAnsi="仿宋" w:cs="仿宋"/>
          <w:sz w:val="32"/>
          <w:szCs w:val="32"/>
          <w:lang w:val="en-US" w:eastAsia="zh-CN"/>
        </w:rPr>
        <w:t>3.实施单位组织协调挂网试运行申请方完成安装、调试、投运等工作，并提供充足的备品备件。挂网试运行前应严格执行公司网络安全技术管控措施。</w:t>
      </w:r>
    </w:p>
    <w:p w14:paraId="34ECCEE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outlineLvl w:val="9"/>
        <w:rPr>
          <w:rFonts w:hint="eastAsia" w:ascii="仿宋" w:hAnsi="仿宋" w:cs="仿宋"/>
          <w:sz w:val="32"/>
          <w:szCs w:val="32"/>
          <w:lang w:val="en-US" w:eastAsia="zh-CN"/>
        </w:rPr>
      </w:pPr>
      <w:r>
        <w:rPr>
          <w:rFonts w:hint="eastAsia" w:ascii="仿宋" w:hAnsi="仿宋" w:cs="仿宋"/>
          <w:sz w:val="32"/>
          <w:szCs w:val="32"/>
          <w:lang w:val="en-US" w:eastAsia="zh-CN"/>
        </w:rPr>
        <w:t>4.实施单位应全过程跟踪运行情况，开展运行维护、检测、试验等工作。对于试运行过程中暴露重大安全风险和隐患的，经实施单位评估后，应及时予以退出。</w:t>
      </w:r>
    </w:p>
    <w:p w14:paraId="63283E3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outlineLvl w:val="9"/>
        <w:rPr>
          <w:rFonts w:hint="eastAsia" w:ascii="仿宋" w:hAnsi="仿宋" w:cs="仿宋"/>
          <w:sz w:val="32"/>
          <w:szCs w:val="32"/>
          <w:lang w:val="en-US" w:eastAsia="zh-CN"/>
        </w:rPr>
      </w:pPr>
      <w:r>
        <w:rPr>
          <w:rFonts w:hint="eastAsia" w:ascii="仿宋" w:hAnsi="仿宋" w:cs="仿宋"/>
          <w:sz w:val="32"/>
          <w:szCs w:val="32"/>
          <w:lang w:val="en-US" w:eastAsia="zh-CN"/>
        </w:rPr>
        <w:t>5.对于新技术产品，公司专业业务部门应组织实施单位结合挂网试运行情况编制全生命周期标准（含技术标准、典型设计、技术规范书、运维规程、作业标准等），可以根据情况采用快速程序先制定公司试行技术标准，并根据应用情况，上升为公司技术标准。</w:t>
      </w:r>
    </w:p>
    <w:p w14:paraId="33810EB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outlineLvl w:val="9"/>
        <w:rPr>
          <w:rFonts w:hint="eastAsia" w:ascii="仿宋" w:hAnsi="仿宋" w:cs="仿宋"/>
          <w:lang w:val="en-US" w:eastAsia="zh-CN"/>
        </w:rPr>
      </w:pPr>
      <w:r>
        <w:rPr>
          <w:rFonts w:hint="eastAsia" w:ascii="仿宋" w:hAnsi="仿宋" w:cs="仿宋"/>
          <w:sz w:val="32"/>
          <w:szCs w:val="32"/>
          <w:lang w:val="en-US" w:eastAsia="zh-CN"/>
        </w:rPr>
        <w:t>6.新产品挂网试运行时间应满足在一个完整运行周期内不同运行条件及工况的考核要求，并</w:t>
      </w:r>
      <w:r>
        <w:rPr>
          <w:rFonts w:hint="eastAsia" w:ascii="仿宋" w:hAnsi="仿宋" w:cs="仿宋"/>
          <w:lang w:val="en-US" w:eastAsia="zh-CN"/>
        </w:rPr>
        <w:t>经公司各专业评审组评估后确定。</w:t>
      </w:r>
    </w:p>
    <w:p w14:paraId="7155D10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outlineLvl w:val="9"/>
        <w:rPr>
          <w:rFonts w:hint="eastAsia" w:ascii="仿宋" w:hAnsi="仿宋" w:cs="仿宋"/>
          <w:sz w:val="32"/>
          <w:szCs w:val="32"/>
          <w:lang w:val="en-US" w:eastAsia="zh-CN"/>
        </w:rPr>
      </w:pPr>
      <w:r>
        <w:rPr>
          <w:rFonts w:hint="eastAsia" w:ascii="仿宋" w:hAnsi="仿宋" w:cs="仿宋"/>
          <w:sz w:val="32"/>
          <w:szCs w:val="32"/>
          <w:lang w:val="en-US" w:eastAsia="zh-CN"/>
        </w:rPr>
        <w:t>7.新产品需出具挂网试运行证明及应用证明的，必须由地市级及以上专业业务部门按管理职责界面出具。</w:t>
      </w:r>
    </w:p>
    <w:p w14:paraId="09F0135F">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textAlignment w:val="auto"/>
        <w:outlineLvl w:val="1"/>
        <w:rPr>
          <w:rFonts w:hint="eastAsia" w:ascii="仿宋" w:hAnsi="仿宋" w:cs="仿宋"/>
          <w:lang w:val="en-US" w:eastAsia="zh-CN"/>
        </w:rPr>
      </w:pPr>
      <w:r>
        <w:rPr>
          <w:rFonts w:hint="eastAsia" w:ascii="仿宋" w:hAnsi="仿宋" w:cs="仿宋"/>
          <w:lang w:val="en-US" w:eastAsia="zh-CN"/>
        </w:rPr>
        <w:t>新产品综合评价</w:t>
      </w:r>
    </w:p>
    <w:p w14:paraId="1F244FB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outlineLvl w:val="9"/>
        <w:rPr>
          <w:rFonts w:hint="eastAsia" w:ascii="仿宋" w:hAnsi="仿宋" w:cs="仿宋"/>
          <w:sz w:val="32"/>
          <w:szCs w:val="32"/>
          <w:lang w:val="en-US" w:eastAsia="zh-CN"/>
        </w:rPr>
      </w:pPr>
      <w:r>
        <w:rPr>
          <w:rFonts w:hint="eastAsia" w:ascii="仿宋" w:hAnsi="仿宋" w:cs="仿宋"/>
          <w:sz w:val="32"/>
          <w:szCs w:val="32"/>
          <w:lang w:val="en-US" w:eastAsia="zh-CN"/>
        </w:rPr>
        <w:t>新产品挂网完成一个完整运行周期后，分子公司专业业务部门应组织实施单位总结新产品挂网试运行情况，编制挂网试运行总结，并开展综合评价。综合评价从试运行情况、技术性能指标、安全影响评估、标准评估、应用前景等方面进行评价：</w:t>
      </w:r>
    </w:p>
    <w:p w14:paraId="23B5CCD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outlineLvl w:val="9"/>
        <w:rPr>
          <w:rFonts w:hint="eastAsia" w:ascii="仿宋" w:hAnsi="仿宋" w:cs="仿宋"/>
          <w:sz w:val="32"/>
          <w:szCs w:val="32"/>
          <w:lang w:val="en-US" w:eastAsia="zh-CN"/>
        </w:rPr>
      </w:pPr>
      <w:r>
        <w:rPr>
          <w:rFonts w:hint="eastAsia" w:ascii="仿宋" w:hAnsi="仿宋" w:cs="仿宋"/>
          <w:sz w:val="32"/>
          <w:szCs w:val="32"/>
          <w:lang w:val="en-US" w:eastAsia="zh-CN"/>
        </w:rPr>
        <w:t>新产品挂网试运行情况分析。根据试运行总结，分析新产品挂网试运行期间故障、缺陷、风险隐患等，对挂网验证总体成效进行评估。</w:t>
      </w:r>
    </w:p>
    <w:p w14:paraId="152CB73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outlineLvl w:val="9"/>
        <w:rPr>
          <w:rFonts w:hint="eastAsia" w:ascii="仿宋" w:hAnsi="仿宋" w:cs="仿宋"/>
          <w:sz w:val="32"/>
          <w:szCs w:val="32"/>
          <w:lang w:val="en-US" w:eastAsia="zh-CN"/>
        </w:rPr>
      </w:pPr>
      <w:r>
        <w:rPr>
          <w:rFonts w:hint="eastAsia" w:ascii="仿宋" w:hAnsi="仿宋" w:cs="仿宋"/>
          <w:sz w:val="32"/>
          <w:szCs w:val="32"/>
          <w:lang w:val="en-US" w:eastAsia="zh-CN"/>
        </w:rPr>
        <w:t>技术性能指标。从新技术原理先进性、关键性能指标等方面评估。</w:t>
      </w:r>
    </w:p>
    <w:p w14:paraId="45D43DC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outlineLvl w:val="9"/>
        <w:rPr>
          <w:rFonts w:hint="eastAsia" w:ascii="仿宋" w:hAnsi="仿宋" w:cs="仿宋"/>
          <w:sz w:val="32"/>
          <w:szCs w:val="32"/>
          <w:lang w:val="en-US" w:eastAsia="zh-CN"/>
        </w:rPr>
      </w:pPr>
      <w:r>
        <w:rPr>
          <w:rFonts w:hint="eastAsia" w:ascii="仿宋" w:hAnsi="仿宋" w:cs="仿宋"/>
          <w:sz w:val="32"/>
          <w:szCs w:val="32"/>
          <w:lang w:val="en-US" w:eastAsia="zh-CN"/>
        </w:rPr>
        <w:t>安全风险评估。安全性分析主要从人身、电网、设备、网络安全等方面评估新产品的安全风险。</w:t>
      </w:r>
    </w:p>
    <w:p w14:paraId="1A70F7B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outlineLvl w:val="9"/>
        <w:rPr>
          <w:rFonts w:hint="eastAsia" w:ascii="仿宋" w:hAnsi="仿宋" w:cs="仿宋"/>
          <w:sz w:val="32"/>
          <w:szCs w:val="32"/>
          <w:lang w:val="en-US" w:eastAsia="zh-CN"/>
        </w:rPr>
      </w:pPr>
      <w:r>
        <w:rPr>
          <w:rFonts w:hint="eastAsia" w:ascii="仿宋" w:hAnsi="仿宋" w:cs="仿宋"/>
          <w:sz w:val="32"/>
          <w:szCs w:val="32"/>
          <w:lang w:val="en-US" w:eastAsia="zh-CN"/>
        </w:rPr>
        <w:t>标准评估主要评估新产品的全生命周期技术标准是否齐备完善（含技术标准、典型设计、技术规范书、运维规程、作业标准等）。</w:t>
      </w:r>
    </w:p>
    <w:p w14:paraId="6D32D54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outlineLvl w:val="9"/>
        <w:rPr>
          <w:rFonts w:hint="eastAsia" w:ascii="仿宋" w:hAnsi="仿宋" w:cs="仿宋"/>
          <w:sz w:val="32"/>
          <w:szCs w:val="32"/>
          <w:lang w:val="en-US" w:eastAsia="zh-CN"/>
        </w:rPr>
      </w:pPr>
      <w:r>
        <w:rPr>
          <w:rFonts w:hint="eastAsia" w:ascii="仿宋" w:hAnsi="仿宋" w:cs="仿宋"/>
          <w:sz w:val="32"/>
          <w:szCs w:val="32"/>
          <w:lang w:val="en-US" w:eastAsia="zh-CN"/>
        </w:rPr>
        <w:t>应用前景。从技术成熟性、经济性、应用规模、效果情况等评价应用前景。</w:t>
      </w:r>
    </w:p>
    <w:p w14:paraId="45B8DCB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outlineLvl w:val="9"/>
        <w:rPr>
          <w:rFonts w:hint="eastAsia" w:ascii="仿宋" w:hAnsi="仿宋" w:cs="仿宋"/>
          <w:sz w:val="32"/>
          <w:szCs w:val="32"/>
          <w:lang w:val="en-US" w:eastAsia="zh-CN"/>
        </w:rPr>
      </w:pPr>
      <w:r>
        <w:rPr>
          <w:rFonts w:hint="eastAsia" w:ascii="仿宋" w:hAnsi="仿宋" w:cs="仿宋"/>
          <w:sz w:val="32"/>
          <w:szCs w:val="32"/>
          <w:lang w:val="en-US" w:eastAsia="zh-CN"/>
        </w:rPr>
        <w:t>综合评价结论分为三类：通过综合评价、需重复性试验或扩大挂网范围、退出挂网试运行。对通过综合评价，且新产品应用前景广阔，适宜在公司系统内规模化推广应用的，可推荐申报公司新技术推广应用目录。</w:t>
      </w:r>
    </w:p>
    <w:p w14:paraId="0DC9D05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outlineLvl w:val="9"/>
        <w:rPr>
          <w:rFonts w:hint="eastAsia" w:ascii="仿宋" w:hAnsi="仿宋" w:cs="仿宋"/>
          <w:sz w:val="32"/>
          <w:szCs w:val="32"/>
          <w:lang w:val="en-US" w:eastAsia="zh-CN"/>
        </w:rPr>
      </w:pPr>
      <w:r>
        <w:rPr>
          <w:rFonts w:hint="eastAsia" w:ascii="仿宋" w:hAnsi="仿宋" w:cs="仿宋"/>
          <w:sz w:val="32"/>
          <w:szCs w:val="32"/>
          <w:lang w:val="en-US" w:eastAsia="zh-CN"/>
        </w:rPr>
        <w:t>通过综合评价：新产品挂网试运行期间运行考验充分，且运行状况良好、安全风险小的，可通过综合评价。其中属于已采购的新产品，可结束挂网试运行并转固定资产，纳入运行设备管理；属于供应商免费提供的新产品，可结束挂网试运行并拆除。</w:t>
      </w:r>
    </w:p>
    <w:p w14:paraId="53AF65D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outlineLvl w:val="9"/>
        <w:rPr>
          <w:rFonts w:hint="eastAsia" w:ascii="仿宋" w:hAnsi="仿宋" w:cs="仿宋"/>
          <w:sz w:val="32"/>
          <w:szCs w:val="32"/>
          <w:lang w:val="en-US" w:eastAsia="zh-CN"/>
        </w:rPr>
      </w:pPr>
      <w:r>
        <w:rPr>
          <w:rFonts w:hint="eastAsia" w:ascii="仿宋" w:hAnsi="仿宋" w:cs="仿宋"/>
          <w:sz w:val="32"/>
          <w:szCs w:val="32"/>
          <w:lang w:val="en-US" w:eastAsia="zh-CN"/>
        </w:rPr>
        <w:t>需重复性试验或扩大挂网试运行范围：挂网试运行期间运行考验不充分，试运行工况、时间、范围不足以支撑挂网综合评价的，应经综合评估后，重新拟定挂网试运行计划。</w:t>
      </w:r>
    </w:p>
    <w:p w14:paraId="6411545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outlineLvl w:val="9"/>
        <w:rPr>
          <w:rFonts w:hint="eastAsia" w:ascii="仿宋" w:hAnsi="仿宋" w:cs="仿宋"/>
          <w:sz w:val="32"/>
          <w:szCs w:val="32"/>
          <w:lang w:val="en-US" w:eastAsia="zh-CN"/>
        </w:rPr>
      </w:pPr>
      <w:r>
        <w:rPr>
          <w:rFonts w:hint="eastAsia" w:ascii="仿宋" w:hAnsi="仿宋" w:cs="仿宋"/>
          <w:sz w:val="32"/>
          <w:szCs w:val="32"/>
          <w:lang w:val="en-US" w:eastAsia="zh-CN"/>
        </w:rPr>
        <w:t>退出挂网试运行：挂网试运行期间出现运行状况不佳、有安全风险较大的新产品，应退出挂网试运行；存在重大缺陷的，应立即退出运行。</w:t>
      </w:r>
    </w:p>
    <w:p w14:paraId="55FC7D5D">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textAlignment w:val="auto"/>
        <w:outlineLvl w:val="1"/>
        <w:rPr>
          <w:rFonts w:hint="eastAsia" w:ascii="仿宋" w:hAnsi="仿宋" w:cs="仿宋"/>
          <w:lang w:val="en-US" w:eastAsia="zh-CN"/>
        </w:rPr>
      </w:pPr>
      <w:r>
        <w:rPr>
          <w:rFonts w:hint="eastAsia" w:ascii="仿宋" w:hAnsi="仿宋" w:cs="仿宋"/>
          <w:lang w:val="en-US" w:eastAsia="zh-CN"/>
        </w:rPr>
        <w:t>推广应用评审</w:t>
      </w:r>
    </w:p>
    <w:p w14:paraId="7273437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outlineLvl w:val="9"/>
        <w:rPr>
          <w:rFonts w:hint="eastAsia" w:ascii="仿宋" w:hAnsi="仿宋" w:cs="仿宋"/>
          <w:sz w:val="32"/>
          <w:szCs w:val="32"/>
          <w:lang w:val="en-US" w:eastAsia="zh-CN"/>
        </w:rPr>
      </w:pPr>
      <w:r>
        <w:rPr>
          <w:rFonts w:hint="eastAsia" w:ascii="仿宋" w:hAnsi="仿宋" w:cs="仿宋"/>
          <w:sz w:val="32"/>
          <w:szCs w:val="32"/>
          <w:lang w:val="en-US" w:eastAsia="zh-CN"/>
        </w:rPr>
        <w:t>1.推广应用前置审查</w:t>
      </w:r>
    </w:p>
    <w:p w14:paraId="21834E2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outlineLvl w:val="9"/>
        <w:rPr>
          <w:rFonts w:hint="eastAsia" w:ascii="仿宋" w:hAnsi="仿宋" w:cs="仿宋"/>
          <w:sz w:val="32"/>
          <w:szCs w:val="32"/>
          <w:lang w:val="en-US" w:eastAsia="zh-CN"/>
        </w:rPr>
      </w:pPr>
      <w:r>
        <w:rPr>
          <w:rFonts w:hint="eastAsia" w:ascii="仿宋" w:hAnsi="仿宋" w:cs="仿宋"/>
          <w:sz w:val="32"/>
          <w:szCs w:val="32"/>
          <w:lang w:val="en-US" w:eastAsia="zh-CN"/>
        </w:rPr>
        <w:t>对通过综合评价的新产品，各分子公司组织汇总综合评价、挂网试运行总结报告等资料，按要求提交至公司输配电与储能部门。公司输配电与储能部门组织各专业业务部门对通过综合评价的新产品开展前置审查，形成推广应用储备库；针对储备库内申报推广应用目录的新技术，组织系统内外部专家初评把关。</w:t>
      </w:r>
    </w:p>
    <w:p w14:paraId="2998E7D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outlineLvl w:val="9"/>
        <w:rPr>
          <w:rFonts w:hint="eastAsia" w:ascii="仿宋" w:hAnsi="仿宋" w:cs="仿宋"/>
          <w:sz w:val="32"/>
          <w:szCs w:val="32"/>
          <w:lang w:val="en-US" w:eastAsia="zh-CN"/>
        </w:rPr>
      </w:pPr>
      <w:r>
        <w:rPr>
          <w:rFonts w:hint="eastAsia" w:ascii="仿宋" w:hAnsi="仿宋" w:cs="仿宋"/>
          <w:sz w:val="32"/>
          <w:szCs w:val="32"/>
          <w:lang w:val="en-US" w:eastAsia="zh-CN"/>
        </w:rPr>
        <w:t>专业业务部门针对国内外已有良好应用业绩、较大应用规模、显著应用成效的新技术，可在充分调研核实基础上，按照综合评价及推广应用前置审查维度，形成调研报告及应用情况核实材料，推荐纳入推广应用储备库。</w:t>
      </w:r>
    </w:p>
    <w:p w14:paraId="419C732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outlineLvl w:val="9"/>
        <w:rPr>
          <w:rFonts w:hint="eastAsia" w:ascii="仿宋" w:hAnsi="仿宋" w:cs="仿宋"/>
          <w:sz w:val="32"/>
          <w:szCs w:val="32"/>
          <w:lang w:val="en-US" w:eastAsia="zh-CN"/>
        </w:rPr>
      </w:pPr>
      <w:r>
        <w:rPr>
          <w:rFonts w:hint="eastAsia" w:ascii="仿宋" w:hAnsi="仿宋" w:cs="仿宋"/>
          <w:sz w:val="32"/>
          <w:szCs w:val="32"/>
          <w:lang w:val="en-US" w:eastAsia="zh-CN"/>
        </w:rPr>
        <w:t>推广应用前置审查包括以下内容：</w:t>
      </w:r>
    </w:p>
    <w:p w14:paraId="3AEA381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outlineLvl w:val="9"/>
        <w:rPr>
          <w:rFonts w:hint="eastAsia" w:ascii="仿宋" w:hAnsi="仿宋" w:cs="仿宋"/>
          <w:sz w:val="32"/>
          <w:szCs w:val="32"/>
          <w:lang w:val="en-US" w:eastAsia="zh-CN"/>
        </w:rPr>
      </w:pPr>
      <w:r>
        <w:rPr>
          <w:rFonts w:hint="eastAsia" w:ascii="仿宋" w:hAnsi="仿宋" w:cs="仿宋"/>
          <w:sz w:val="32"/>
          <w:szCs w:val="32"/>
          <w:lang w:val="en-US" w:eastAsia="zh-CN"/>
        </w:rPr>
        <w:t>（1）综合评价情况审查。审查各分子公司提交的新产品挂网试运行综合评价结果，重点审查挂网试运行总结报告（挂网试运行情况、验证项目实施效果、安全影响分析），审查标准完善情况，审查新技术应用前景。</w:t>
      </w:r>
    </w:p>
    <w:p w14:paraId="21F26D2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outlineLvl w:val="9"/>
        <w:rPr>
          <w:rFonts w:hint="eastAsia" w:ascii="仿宋" w:hAnsi="仿宋" w:cs="仿宋"/>
          <w:sz w:val="32"/>
          <w:szCs w:val="32"/>
          <w:lang w:val="en-US" w:eastAsia="zh-CN"/>
        </w:rPr>
      </w:pPr>
      <w:r>
        <w:rPr>
          <w:rFonts w:hint="eastAsia" w:ascii="仿宋" w:hAnsi="仿宋" w:cs="仿宋"/>
          <w:sz w:val="32"/>
          <w:szCs w:val="32"/>
          <w:lang w:val="en-US" w:eastAsia="zh-CN"/>
        </w:rPr>
        <w:t>（2）技术先进性审查。从新技术原理先进性、技术功能、关键性能指标等方面审查评估。</w:t>
      </w:r>
    </w:p>
    <w:p w14:paraId="7480011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outlineLvl w:val="9"/>
        <w:rPr>
          <w:rFonts w:hint="eastAsia" w:ascii="仿宋" w:hAnsi="仿宋" w:cs="仿宋"/>
          <w:sz w:val="32"/>
          <w:szCs w:val="32"/>
          <w:lang w:val="en-US" w:eastAsia="zh-CN"/>
        </w:rPr>
      </w:pPr>
      <w:r>
        <w:rPr>
          <w:rFonts w:hint="eastAsia" w:ascii="仿宋" w:hAnsi="仿宋" w:cs="仿宋"/>
          <w:sz w:val="32"/>
          <w:szCs w:val="32"/>
          <w:lang w:val="en-US" w:eastAsia="zh-CN"/>
        </w:rPr>
        <w:t>（3）推广应用需求审查。审查新技术是否符合专业技术发展方向，是否解决当前公司生产运行实际需求，是否提升安全生产运行水平，是否降低人工成本、提高生产效率。</w:t>
      </w:r>
    </w:p>
    <w:p w14:paraId="56053E8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outlineLvl w:val="9"/>
        <w:rPr>
          <w:rFonts w:hint="eastAsia" w:ascii="仿宋" w:hAnsi="仿宋" w:cs="仿宋"/>
          <w:sz w:val="32"/>
          <w:szCs w:val="32"/>
          <w:lang w:val="en-US" w:eastAsia="zh-CN"/>
        </w:rPr>
      </w:pPr>
      <w:r>
        <w:rPr>
          <w:rFonts w:hint="eastAsia" w:ascii="仿宋" w:hAnsi="仿宋" w:cs="仿宋"/>
          <w:sz w:val="32"/>
          <w:szCs w:val="32"/>
          <w:lang w:val="en-US" w:eastAsia="zh-CN"/>
        </w:rPr>
        <w:t>（4）推广应用成熟度审查。审查新技术产业链供应链成熟度，主流供应商同类技术应用情况、市场竞争态势。系统内自主创新成果，核实成果转化、产品代工等产业化工作进展。</w:t>
      </w:r>
    </w:p>
    <w:p w14:paraId="52C1687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outlineLvl w:val="9"/>
        <w:rPr>
          <w:rFonts w:hint="eastAsia" w:ascii="仿宋" w:hAnsi="仿宋" w:cs="仿宋"/>
          <w:sz w:val="32"/>
          <w:szCs w:val="32"/>
          <w:lang w:val="en-US" w:eastAsia="zh-CN"/>
        </w:rPr>
      </w:pPr>
      <w:r>
        <w:rPr>
          <w:rFonts w:hint="eastAsia" w:ascii="仿宋" w:hAnsi="仿宋" w:cs="仿宋"/>
          <w:sz w:val="32"/>
          <w:szCs w:val="32"/>
          <w:lang w:val="en-US" w:eastAsia="zh-CN"/>
        </w:rPr>
        <w:t>2.申报新技术推广应用评审应满足以下条件：</w:t>
      </w:r>
    </w:p>
    <w:p w14:paraId="21B5B1F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outlineLvl w:val="9"/>
        <w:rPr>
          <w:rFonts w:hint="eastAsia" w:ascii="仿宋" w:hAnsi="仿宋" w:cs="仿宋"/>
          <w:sz w:val="32"/>
          <w:szCs w:val="32"/>
          <w:lang w:val="en-US" w:eastAsia="zh-CN"/>
        </w:rPr>
      </w:pPr>
      <w:r>
        <w:rPr>
          <w:rFonts w:hint="eastAsia" w:ascii="仿宋" w:hAnsi="仿宋" w:cs="仿宋"/>
          <w:sz w:val="32"/>
          <w:szCs w:val="32"/>
          <w:lang w:val="en-US" w:eastAsia="zh-CN"/>
        </w:rPr>
        <w:t>（1）通过推广应用前置审查，纳入公司推广应用储备库。</w:t>
      </w:r>
    </w:p>
    <w:p w14:paraId="3C356E3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outlineLvl w:val="9"/>
        <w:rPr>
          <w:rFonts w:hint="eastAsia" w:ascii="仿宋" w:hAnsi="仿宋" w:cs="仿宋"/>
          <w:sz w:val="32"/>
          <w:szCs w:val="32"/>
          <w:lang w:val="en-US" w:eastAsia="zh-CN"/>
        </w:rPr>
      </w:pPr>
      <w:r>
        <w:rPr>
          <w:rFonts w:hint="eastAsia" w:ascii="仿宋" w:hAnsi="仿宋" w:cs="仿宋"/>
          <w:sz w:val="32"/>
          <w:szCs w:val="32"/>
          <w:lang w:val="en-US" w:eastAsia="zh-CN"/>
        </w:rPr>
        <w:t>（2）完成新产品鉴定。应具备由中国机械工业联合会、中国电力企业联合会、中国电机工程学会等行业协会，省级政府机构或其认可的省级行业协会组织（省属机械工业联合会、省属电机工程学会等）出具的新产品鉴定报告。对安全生产影响较小的工器具类新技术，可不开展新产品鉴定。</w:t>
      </w:r>
    </w:p>
    <w:p w14:paraId="44CEBCC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outlineLvl w:val="9"/>
        <w:rPr>
          <w:rFonts w:hint="eastAsia" w:ascii="仿宋" w:hAnsi="仿宋" w:cs="仿宋"/>
          <w:sz w:val="32"/>
          <w:szCs w:val="32"/>
          <w:lang w:val="en-US" w:eastAsia="zh-CN"/>
        </w:rPr>
      </w:pPr>
      <w:r>
        <w:rPr>
          <w:rFonts w:hint="eastAsia" w:ascii="仿宋" w:hAnsi="仿宋" w:cs="仿宋"/>
          <w:sz w:val="32"/>
          <w:szCs w:val="32"/>
          <w:lang w:val="en-US" w:eastAsia="zh-CN"/>
        </w:rPr>
        <w:t>（3）技术具有一定的创新性，技术质量、服务水平等综合指标国内领先，对电网发展、技术进步以及对国民经济和社会发展具有显著的作用和效益。</w:t>
      </w:r>
    </w:p>
    <w:p w14:paraId="77829DD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outlineLvl w:val="9"/>
        <w:rPr>
          <w:rFonts w:hint="eastAsia" w:ascii="仿宋" w:hAnsi="仿宋" w:cs="仿宋"/>
          <w:sz w:val="32"/>
          <w:szCs w:val="32"/>
          <w:lang w:val="en-US" w:eastAsia="zh-CN"/>
        </w:rPr>
      </w:pPr>
      <w:r>
        <w:rPr>
          <w:rFonts w:hint="eastAsia" w:ascii="仿宋" w:hAnsi="仿宋" w:cs="仿宋"/>
          <w:sz w:val="32"/>
          <w:szCs w:val="32"/>
          <w:lang w:val="en-US" w:eastAsia="zh-CN"/>
        </w:rPr>
        <w:t>（4）新技术的全生命周期技术标准应齐备完善（含技术标准、典型设计、技术规范书、运维规程、作业标准等）。</w:t>
      </w:r>
    </w:p>
    <w:p w14:paraId="562311E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outlineLvl w:val="9"/>
        <w:rPr>
          <w:rFonts w:hint="eastAsia" w:ascii="仿宋" w:hAnsi="仿宋" w:cs="仿宋"/>
          <w:sz w:val="32"/>
          <w:szCs w:val="32"/>
          <w:lang w:val="en-US" w:eastAsia="zh-CN"/>
        </w:rPr>
      </w:pPr>
      <w:r>
        <w:rPr>
          <w:rFonts w:hint="eastAsia" w:ascii="仿宋" w:hAnsi="仿宋" w:cs="仿宋"/>
          <w:sz w:val="32"/>
          <w:szCs w:val="32"/>
          <w:lang w:val="en-US" w:eastAsia="zh-CN"/>
        </w:rPr>
        <w:t>3.推广应用评审</w:t>
      </w:r>
    </w:p>
    <w:p w14:paraId="3E895EF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outlineLvl w:val="9"/>
        <w:rPr>
          <w:rFonts w:hint="eastAsia" w:ascii="仿宋" w:hAnsi="仿宋" w:cs="仿宋"/>
          <w:sz w:val="32"/>
          <w:szCs w:val="32"/>
          <w:lang w:val="en-US" w:eastAsia="zh-CN"/>
        </w:rPr>
      </w:pPr>
      <w:r>
        <w:rPr>
          <w:rFonts w:hint="eastAsia" w:ascii="仿宋" w:hAnsi="仿宋" w:cs="仿宋"/>
          <w:sz w:val="32"/>
          <w:szCs w:val="32"/>
          <w:lang w:val="en-US" w:eastAsia="zh-CN"/>
        </w:rPr>
        <w:t>是指对新产品挂网试运行总结、劳动生产率提升、技术先进性、安全性分析、经济性分析、标准评估、应用前景等进行评价：</w:t>
      </w:r>
    </w:p>
    <w:p w14:paraId="7316D9C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outlineLvl w:val="9"/>
        <w:rPr>
          <w:rFonts w:hint="eastAsia" w:ascii="仿宋" w:hAnsi="仿宋" w:cs="仿宋"/>
          <w:sz w:val="32"/>
          <w:szCs w:val="32"/>
          <w:lang w:val="en-US" w:eastAsia="zh-CN"/>
        </w:rPr>
      </w:pPr>
      <w:r>
        <w:rPr>
          <w:rFonts w:hint="eastAsia" w:ascii="仿宋" w:hAnsi="仿宋" w:cs="仿宋"/>
          <w:sz w:val="32"/>
          <w:szCs w:val="32"/>
          <w:lang w:val="en-US" w:eastAsia="zh-CN"/>
        </w:rPr>
        <w:t>（1）试运行总结应分析新产品挂网试运行期间故障、缺陷、风险隐患等，对总体运行情况进行总结。</w:t>
      </w:r>
    </w:p>
    <w:p w14:paraId="1707FD3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outlineLvl w:val="9"/>
        <w:rPr>
          <w:rFonts w:hint="eastAsia" w:ascii="仿宋" w:hAnsi="仿宋" w:cs="仿宋"/>
          <w:sz w:val="32"/>
          <w:szCs w:val="32"/>
          <w:lang w:val="en-US" w:eastAsia="zh-CN"/>
        </w:rPr>
      </w:pPr>
      <w:r>
        <w:rPr>
          <w:rFonts w:hint="eastAsia" w:ascii="仿宋" w:hAnsi="仿宋" w:cs="仿宋"/>
          <w:sz w:val="32"/>
          <w:szCs w:val="32"/>
          <w:lang w:val="en-US" w:eastAsia="zh-CN"/>
        </w:rPr>
        <w:t>（2）劳动生产率提升，分析应用该新技术对提高劳动生产率的作用，从降低人工成本、提高生产效率等方面进行评估。</w:t>
      </w:r>
    </w:p>
    <w:p w14:paraId="4EA35F1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outlineLvl w:val="9"/>
        <w:rPr>
          <w:rFonts w:hint="eastAsia" w:ascii="仿宋" w:hAnsi="仿宋" w:cs="仿宋"/>
          <w:sz w:val="32"/>
          <w:szCs w:val="32"/>
          <w:lang w:val="en-US" w:eastAsia="zh-CN"/>
        </w:rPr>
      </w:pPr>
      <w:r>
        <w:rPr>
          <w:rFonts w:hint="eastAsia" w:ascii="仿宋" w:hAnsi="仿宋" w:cs="仿宋"/>
          <w:sz w:val="32"/>
          <w:szCs w:val="32"/>
          <w:lang w:val="en-US" w:eastAsia="zh-CN"/>
        </w:rPr>
        <w:t>（3）技术先进性包括新技术原理及先进性说明、关键性能指标说明、应用领域及功能说明等。</w:t>
      </w:r>
    </w:p>
    <w:p w14:paraId="63AB228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outlineLvl w:val="9"/>
        <w:rPr>
          <w:rFonts w:hint="eastAsia" w:ascii="仿宋" w:hAnsi="仿宋" w:cs="仿宋"/>
          <w:sz w:val="32"/>
          <w:szCs w:val="32"/>
          <w:lang w:val="en-US" w:eastAsia="zh-CN"/>
        </w:rPr>
      </w:pPr>
      <w:r>
        <w:rPr>
          <w:rFonts w:hint="eastAsia" w:ascii="仿宋" w:hAnsi="仿宋" w:cs="仿宋"/>
          <w:sz w:val="32"/>
          <w:szCs w:val="32"/>
          <w:lang w:val="en-US" w:eastAsia="zh-CN"/>
        </w:rPr>
        <w:t>（4）安全性分析主要从人身、电网、设备、网络安全等方面分析新技术的安全风险。</w:t>
      </w:r>
    </w:p>
    <w:p w14:paraId="5134E54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outlineLvl w:val="9"/>
        <w:rPr>
          <w:rFonts w:hint="eastAsia" w:ascii="仿宋" w:hAnsi="仿宋" w:cs="仿宋"/>
          <w:sz w:val="32"/>
          <w:szCs w:val="32"/>
          <w:lang w:val="en-US" w:eastAsia="zh-CN"/>
        </w:rPr>
      </w:pPr>
      <w:r>
        <w:rPr>
          <w:rFonts w:hint="eastAsia" w:ascii="仿宋" w:hAnsi="仿宋" w:cs="仿宋"/>
          <w:sz w:val="32"/>
          <w:szCs w:val="32"/>
          <w:lang w:val="en-US" w:eastAsia="zh-CN"/>
        </w:rPr>
        <w:t>（5）经济性分析主要与现有成熟技术比较，从造价、全生命周期使用成本等方面评估；对于无同类技术的，应重点分析成本、利润情况。</w:t>
      </w:r>
    </w:p>
    <w:p w14:paraId="5BEB6B7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outlineLvl w:val="9"/>
        <w:rPr>
          <w:rFonts w:hint="eastAsia" w:ascii="仿宋" w:hAnsi="仿宋" w:cs="仿宋"/>
          <w:sz w:val="32"/>
          <w:szCs w:val="32"/>
          <w:lang w:val="en-US" w:eastAsia="zh-CN"/>
        </w:rPr>
      </w:pPr>
      <w:r>
        <w:rPr>
          <w:rFonts w:hint="eastAsia" w:ascii="仿宋" w:hAnsi="仿宋" w:cs="仿宋"/>
          <w:sz w:val="32"/>
          <w:szCs w:val="32"/>
          <w:lang w:val="en-US" w:eastAsia="zh-CN"/>
        </w:rPr>
        <w:t>（6）标准评估主要评估新技术的全生命周期技术标准是否齐备完善（含技术标准、典型设计、技术规范书、运维规程、作业标准等）。</w:t>
      </w:r>
    </w:p>
    <w:p w14:paraId="225B1E1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outlineLvl w:val="9"/>
        <w:rPr>
          <w:rFonts w:hint="eastAsia" w:ascii="仿宋" w:hAnsi="仿宋" w:cs="仿宋"/>
          <w:sz w:val="32"/>
          <w:szCs w:val="32"/>
          <w:lang w:val="en-US" w:eastAsia="zh-CN"/>
        </w:rPr>
      </w:pPr>
      <w:r>
        <w:rPr>
          <w:rFonts w:hint="eastAsia" w:ascii="仿宋" w:hAnsi="仿宋" w:cs="仿宋"/>
          <w:sz w:val="32"/>
          <w:szCs w:val="32"/>
          <w:lang w:val="en-US" w:eastAsia="zh-CN"/>
        </w:rPr>
        <w:t>（7）应用前景主要从技术成熟性、应用规模、效果情况等评价应用的前景。</w:t>
      </w:r>
    </w:p>
    <w:p w14:paraId="47E8DF0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outlineLvl w:val="9"/>
        <w:rPr>
          <w:rFonts w:hint="eastAsia" w:ascii="仿宋" w:hAnsi="仿宋" w:cs="仿宋"/>
          <w:sz w:val="32"/>
          <w:szCs w:val="32"/>
          <w:lang w:val="en-US" w:eastAsia="zh-CN"/>
        </w:rPr>
      </w:pPr>
      <w:r>
        <w:rPr>
          <w:rFonts w:hint="eastAsia" w:ascii="仿宋" w:hAnsi="仿宋" w:cs="仿宋"/>
          <w:sz w:val="32"/>
          <w:szCs w:val="32"/>
          <w:lang w:val="en-US" w:eastAsia="zh-CN"/>
        </w:rPr>
        <w:t>4.推广应用</w:t>
      </w:r>
    </w:p>
    <w:p w14:paraId="3B1A64B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outlineLvl w:val="9"/>
        <w:rPr>
          <w:rFonts w:hint="eastAsia" w:ascii="仿宋" w:hAnsi="仿宋" w:cs="仿宋"/>
          <w:sz w:val="32"/>
          <w:szCs w:val="32"/>
          <w:lang w:val="en-US" w:eastAsia="zh-CN"/>
        </w:rPr>
      </w:pPr>
      <w:r>
        <w:rPr>
          <w:rFonts w:hint="eastAsia" w:ascii="仿宋" w:hAnsi="仿宋" w:cs="仿宋"/>
          <w:sz w:val="32"/>
          <w:szCs w:val="32"/>
          <w:lang w:val="en-US" w:eastAsia="zh-CN"/>
        </w:rPr>
        <w:t>《推广应用目录》在完成公示环节后，面向社会进行发布，引导社会企业及创新主体参与公司亟需的新技术研发及成果转化。</w:t>
      </w:r>
    </w:p>
    <w:p w14:paraId="009FB4C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outlineLvl w:val="9"/>
        <w:rPr>
          <w:rFonts w:hint="eastAsia" w:ascii="仿宋" w:hAnsi="仿宋" w:cs="仿宋"/>
          <w:sz w:val="32"/>
          <w:szCs w:val="32"/>
          <w:lang w:val="en-US" w:eastAsia="zh-CN"/>
        </w:rPr>
      </w:pPr>
      <w:r>
        <w:rPr>
          <w:rFonts w:hint="eastAsia" w:ascii="仿宋" w:hAnsi="仿宋" w:cs="仿宋"/>
          <w:sz w:val="32"/>
          <w:szCs w:val="32"/>
          <w:lang w:val="en-US" w:eastAsia="zh-CN"/>
        </w:rPr>
        <w:t>公司输配电与储能部门建立推广应用引导指标，对属于公司重大攻关、国产化替代应用等重大成果的，完善推广应用策略及计划，促进重点成果的早推广、早见效。公司各级单位按照“安全第一、分步实施、有序推进”的原则，依照技术标准、作业标准、采购标准、型号版本通过清单、物资采购目录等，在充分评估人员培训和技能掌控情况下，进一步做好技术经济分析，结合各单位的经营情况和资源投入能力，开展推广应用。</w:t>
      </w:r>
    </w:p>
    <w:p w14:paraId="21178DF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outlineLvl w:val="9"/>
        <w:rPr>
          <w:rFonts w:hint="eastAsia" w:ascii="仿宋" w:hAnsi="仿宋" w:cs="仿宋"/>
          <w:sz w:val="32"/>
          <w:szCs w:val="32"/>
          <w:lang w:val="en-US" w:eastAsia="zh-CN"/>
        </w:rPr>
      </w:pPr>
      <w:r>
        <w:rPr>
          <w:rFonts w:hint="eastAsia" w:ascii="仿宋" w:hAnsi="仿宋" w:cs="仿宋"/>
          <w:sz w:val="32"/>
          <w:szCs w:val="32"/>
          <w:lang w:val="en-US" w:eastAsia="zh-CN"/>
        </w:rPr>
        <w:t>推广应用实施过程中，新技术自身引起的事故事件，按公司安全事故调查规程等相关规定处理。对在应用过程中导致事故事件的新技术供应商，由供应链管理部门按规定实施警告或退出机制。</w:t>
      </w:r>
    </w:p>
    <w:p w14:paraId="6EC63AD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outlineLvl w:val="9"/>
        <w:rPr>
          <w:rFonts w:hint="eastAsia" w:ascii="仿宋" w:hAnsi="仿宋" w:cs="仿宋"/>
          <w:sz w:val="32"/>
          <w:szCs w:val="32"/>
          <w:lang w:val="en-US" w:eastAsia="zh-CN"/>
        </w:rPr>
      </w:pPr>
      <w:r>
        <w:rPr>
          <w:rFonts w:hint="eastAsia" w:ascii="仿宋" w:hAnsi="仿宋" w:cs="仿宋"/>
          <w:sz w:val="32"/>
          <w:szCs w:val="32"/>
          <w:lang w:val="en-US" w:eastAsia="zh-CN"/>
        </w:rPr>
        <w:t>公司各级生产技术部门应定期组织开展本单位的新技术推广应用交流工作，通报新技术推广应用情况，分析存在问题，完善应用措施。</w:t>
      </w:r>
    </w:p>
    <w:p w14:paraId="61E91D6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outlineLvl w:val="9"/>
        <w:rPr>
          <w:rFonts w:hint="eastAsia" w:ascii="仿宋" w:hAnsi="仿宋" w:cs="仿宋"/>
          <w:sz w:val="32"/>
          <w:szCs w:val="32"/>
          <w:lang w:val="en-US" w:eastAsia="zh-CN"/>
        </w:rPr>
      </w:pPr>
      <w:r>
        <w:rPr>
          <w:rFonts w:hint="eastAsia" w:ascii="仿宋" w:hAnsi="仿宋" w:cs="仿宋"/>
          <w:sz w:val="32"/>
          <w:szCs w:val="32"/>
          <w:lang w:val="en-US" w:eastAsia="zh-CN"/>
        </w:rPr>
        <w:t>各单位应总结分析新技术推广应用实践情况，理顺新技术采购流程，及时用安全、可靠、经济、高效的新技术替换淘汰技术，促进技术和装备的更新换代，提高电网安全水平。</w:t>
      </w:r>
    </w:p>
    <w:p w14:paraId="06FBBED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outlineLvl w:val="9"/>
        <w:rPr>
          <w:rFonts w:hint="default"/>
          <w:lang w:val="en-US" w:eastAsia="zh-CN"/>
        </w:rPr>
      </w:pPr>
      <w:r>
        <w:rPr>
          <w:rFonts w:hint="eastAsia" w:ascii="仿宋" w:hAnsi="仿宋" w:cs="仿宋"/>
          <w:sz w:val="32"/>
          <w:szCs w:val="32"/>
          <w:lang w:val="en-US" w:eastAsia="zh-CN"/>
        </w:rPr>
        <w:t>各分子公司应在新技术纳入推广应用目录后第三年，对新技术的推广应用和运行情况进行总结，并在次年1月15日前将评价结果报送公司输配电与储能部门及专业业务部门。根据后评价结果，对于不再适宜推广应用的新技术实施退出机制，在新版推广应用目录明确予以退出。</w:t>
      </w:r>
    </w:p>
    <w:p w14:paraId="692D1B3E">
      <w:pPr>
        <w:keepNext w:val="0"/>
        <w:keepLines w:val="0"/>
        <w:pageBreakBefore w:val="0"/>
        <w:widowControl w:val="0"/>
        <w:numPr>
          <w:ilvl w:val="0"/>
          <w:numId w:val="1"/>
        </w:numPr>
        <w:kinsoku/>
        <w:wordWrap/>
        <w:overflowPunct/>
        <w:topLinePunct w:val="0"/>
        <w:autoSpaceDE/>
        <w:autoSpaceDN/>
        <w:bidi w:val="0"/>
        <w:adjustRightInd/>
        <w:snapToGrid/>
        <w:spacing w:line="560" w:lineRule="exact"/>
        <w:textAlignment w:val="auto"/>
        <w:outlineLvl w:val="0"/>
        <w:rPr>
          <w:rFonts w:hint="eastAsia" w:ascii="黑体" w:hAnsi="黑体" w:eastAsia="黑体" w:cs="黑体"/>
          <w:b/>
          <w:bCs/>
          <w:lang w:val="en-US" w:eastAsia="zh-CN"/>
        </w:rPr>
      </w:pPr>
      <w:r>
        <w:rPr>
          <w:rFonts w:hint="eastAsia" w:ascii="黑体" w:hAnsi="黑体" w:eastAsia="黑体" w:cs="黑体"/>
          <w:b/>
          <w:bCs/>
          <w:lang w:val="en-US" w:eastAsia="zh-CN"/>
        </w:rPr>
        <w:t>申报材料注意事项</w:t>
      </w:r>
    </w:p>
    <w:p w14:paraId="54587B8E">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firstLine="640" w:firstLineChars="200"/>
        <w:textAlignment w:val="auto"/>
        <w:rPr>
          <w:rFonts w:hint="default"/>
          <w:lang w:val="en-US" w:eastAsia="zh-CN"/>
        </w:rPr>
      </w:pPr>
      <w:r>
        <w:rPr>
          <w:rFonts w:hint="eastAsia" w:ascii="仿宋" w:hAnsi="仿宋" w:cs="仿宋"/>
          <w:lang w:val="en-US" w:eastAsia="zh-CN"/>
        </w:rPr>
        <w:t>确定专业分组，在数字化、变电、储能、输电、配电、计量与用电、</w:t>
      </w:r>
      <w:bookmarkStart w:id="0" w:name="_GoBack"/>
      <w:r>
        <w:rPr>
          <w:rFonts w:hint="eastAsia" w:ascii="仿宋" w:hAnsi="仿宋" w:cs="仿宋"/>
          <w:lang w:val="en-US" w:eastAsia="zh-CN"/>
        </w:rPr>
        <w:t>安全工器具</w:t>
      </w:r>
      <w:bookmarkEnd w:id="0"/>
      <w:r>
        <w:rPr>
          <w:rFonts w:hint="eastAsia" w:ascii="仿宋" w:hAnsi="仿宋" w:cs="仿宋"/>
          <w:lang w:val="en-US" w:eastAsia="zh-CN"/>
        </w:rPr>
        <w:t>、系统运行（继电保护、自动化、通信、方式等）、供应链、基建中选择一类作为产品的专业分组。</w:t>
      </w:r>
    </w:p>
    <w:p w14:paraId="66A3FBD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cs="仿宋"/>
          <w:lang w:val="en-US" w:eastAsia="zh-CN"/>
        </w:rPr>
      </w:pPr>
      <w:r>
        <w:rPr>
          <w:rFonts w:hint="eastAsia" w:ascii="仿宋" w:hAnsi="仿宋" w:cs="仿宋"/>
          <w:lang w:val="en-US" w:eastAsia="zh-CN"/>
        </w:rPr>
        <w:t>2.确定新产品载体，新产品载体决定通过形式审查是否需要鉴定报告，在设备类，工器具类，软件类选择一类作为产品的新产品载体。</w:t>
      </w:r>
    </w:p>
    <w:p w14:paraId="3D10218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lang w:val="en-US" w:eastAsia="zh-CN"/>
        </w:rPr>
      </w:pPr>
      <w:r>
        <w:rPr>
          <w:rFonts w:hint="eastAsia" w:ascii="仿宋" w:hAnsi="仿宋" w:cs="仿宋"/>
          <w:lang w:val="en-US" w:eastAsia="zh-CN"/>
        </w:rPr>
        <w:t>3.确定新产品类型，在新技术产品，新型号、新版本产品中选择一类作为产品的新产品类型。</w:t>
      </w:r>
    </w:p>
    <w:p w14:paraId="0A8D222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cs="仿宋"/>
          <w:lang w:val="en-US" w:eastAsia="zh-CN"/>
        </w:rPr>
      </w:pPr>
      <w:r>
        <w:rPr>
          <w:rFonts w:hint="eastAsia" w:ascii="仿宋" w:hAnsi="仿宋" w:cs="仿宋"/>
          <w:lang w:val="en-US" w:eastAsia="zh-CN"/>
        </w:rPr>
        <w:t>4.明确划分产品来源，在公司自主创新成果、公司系统外供应商产品选择一类作为产品来源。</w:t>
      </w:r>
    </w:p>
    <w:p w14:paraId="1FDB182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cs="仿宋"/>
          <w:lang w:val="en-US" w:eastAsia="zh-CN"/>
        </w:rPr>
      </w:pPr>
      <w:r>
        <w:rPr>
          <w:rFonts w:hint="eastAsia" w:ascii="仿宋" w:hAnsi="仿宋" w:cs="仿宋"/>
          <w:lang w:val="en-US" w:eastAsia="zh-CN"/>
        </w:rPr>
        <w:t>5.新产品上交材料中的挂网试运行申报表、新产品挂网申报汇总表以及挂网试运行方案填写的挂网地点、挂网时间、挂网数量信息应确保一致。</w:t>
      </w:r>
    </w:p>
    <w:p w14:paraId="599526B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lang w:val="en-US" w:eastAsia="zh-CN"/>
        </w:rPr>
      </w:pPr>
      <w:r>
        <w:rPr>
          <w:rFonts w:hint="eastAsia" w:ascii="仿宋" w:hAnsi="仿宋" w:cs="仿宋"/>
          <w:lang w:val="en-US" w:eastAsia="zh-CN"/>
        </w:rPr>
        <w:t>6.新产品挂网申报汇总表应对照表格中示例按要求准确填写。</w:t>
      </w:r>
    </w:p>
    <w:p w14:paraId="7F01D82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 w:hAnsi="仿宋" w:cs="仿宋"/>
          <w:lang w:val="en-US" w:eastAsia="zh-CN"/>
        </w:rPr>
      </w:pPr>
    </w:p>
    <w:p w14:paraId="23A4EF83">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default"/>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D594FF">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E15F1F1">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E15F1F1">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BD70DE"/>
    <w:multiLevelType w:val="singleLevel"/>
    <w:tmpl w:val="06BD70DE"/>
    <w:lvl w:ilvl="0" w:tentative="0">
      <w:start w:val="1"/>
      <w:numFmt w:val="decimal"/>
      <w:lvlText w:val="%1."/>
      <w:lvlJc w:val="left"/>
      <w:pPr>
        <w:tabs>
          <w:tab w:val="left" w:pos="312"/>
        </w:tabs>
      </w:pPr>
    </w:lvl>
  </w:abstractNum>
  <w:abstractNum w:abstractNumId="1">
    <w:nsid w:val="53BA56E7"/>
    <w:multiLevelType w:val="singleLevel"/>
    <w:tmpl w:val="53BA56E7"/>
    <w:lvl w:ilvl="0" w:tentative="0">
      <w:start w:val="1"/>
      <w:numFmt w:val="chineseCounting"/>
      <w:suff w:val="nothing"/>
      <w:lvlText w:val="（%1）"/>
      <w:lvlJc w:val="left"/>
      <w:rPr>
        <w:rFonts w:hint="eastAsia"/>
      </w:rPr>
    </w:lvl>
  </w:abstractNum>
  <w:abstractNum w:abstractNumId="2">
    <w:nsid w:val="7530D6E1"/>
    <w:multiLevelType w:val="singleLevel"/>
    <w:tmpl w:val="7530D6E1"/>
    <w:lvl w:ilvl="0" w:tentative="0">
      <w:start w:val="1"/>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8"/>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g0OTA5YzI2ZTE5MWMyYzJmNmU2MDVmNjk3ZDQyNGMifQ=="/>
  </w:docVars>
  <w:rsids>
    <w:rsidRoot w:val="13E80D2C"/>
    <w:rsid w:val="007867EF"/>
    <w:rsid w:val="01D92FDA"/>
    <w:rsid w:val="02B114AD"/>
    <w:rsid w:val="02E4164F"/>
    <w:rsid w:val="07F733B0"/>
    <w:rsid w:val="0A8305A2"/>
    <w:rsid w:val="0B161E0B"/>
    <w:rsid w:val="0B7F6CE2"/>
    <w:rsid w:val="0D5E546D"/>
    <w:rsid w:val="0E4341C7"/>
    <w:rsid w:val="0EC11854"/>
    <w:rsid w:val="0ED6529E"/>
    <w:rsid w:val="0ED96B1A"/>
    <w:rsid w:val="10654B09"/>
    <w:rsid w:val="13387184"/>
    <w:rsid w:val="13E80D2C"/>
    <w:rsid w:val="15D63DC9"/>
    <w:rsid w:val="16A51251"/>
    <w:rsid w:val="19647D52"/>
    <w:rsid w:val="1A1616E2"/>
    <w:rsid w:val="1ACF1D84"/>
    <w:rsid w:val="1AD07C7F"/>
    <w:rsid w:val="1DDF45E7"/>
    <w:rsid w:val="21585FC4"/>
    <w:rsid w:val="22B34776"/>
    <w:rsid w:val="22EA1B3B"/>
    <w:rsid w:val="240357E2"/>
    <w:rsid w:val="24CC67BB"/>
    <w:rsid w:val="255C6A35"/>
    <w:rsid w:val="25F71CE2"/>
    <w:rsid w:val="266C0DEE"/>
    <w:rsid w:val="29EF0D58"/>
    <w:rsid w:val="2CF91D38"/>
    <w:rsid w:val="308C3DF2"/>
    <w:rsid w:val="31C9064E"/>
    <w:rsid w:val="3276154B"/>
    <w:rsid w:val="34264795"/>
    <w:rsid w:val="345D1478"/>
    <w:rsid w:val="348B4B08"/>
    <w:rsid w:val="374F79AA"/>
    <w:rsid w:val="38EC7CF6"/>
    <w:rsid w:val="39265BA3"/>
    <w:rsid w:val="3A4803B5"/>
    <w:rsid w:val="3ADC6F09"/>
    <w:rsid w:val="3CC7192C"/>
    <w:rsid w:val="3D2D6854"/>
    <w:rsid w:val="3EAB1E08"/>
    <w:rsid w:val="3F855E32"/>
    <w:rsid w:val="402F7480"/>
    <w:rsid w:val="41513996"/>
    <w:rsid w:val="4174097B"/>
    <w:rsid w:val="41AA39C1"/>
    <w:rsid w:val="424E2039"/>
    <w:rsid w:val="4415744C"/>
    <w:rsid w:val="45FA34EB"/>
    <w:rsid w:val="46115F70"/>
    <w:rsid w:val="46160907"/>
    <w:rsid w:val="472F64E0"/>
    <w:rsid w:val="47D27AF6"/>
    <w:rsid w:val="49AB2AE7"/>
    <w:rsid w:val="4E645E00"/>
    <w:rsid w:val="5177128E"/>
    <w:rsid w:val="52E141D6"/>
    <w:rsid w:val="55627360"/>
    <w:rsid w:val="573818BD"/>
    <w:rsid w:val="586C3B4C"/>
    <w:rsid w:val="596D6420"/>
    <w:rsid w:val="5F360BD6"/>
    <w:rsid w:val="620444E4"/>
    <w:rsid w:val="621F41B9"/>
    <w:rsid w:val="638E2378"/>
    <w:rsid w:val="648B2C26"/>
    <w:rsid w:val="679F10B6"/>
    <w:rsid w:val="68042900"/>
    <w:rsid w:val="688E7615"/>
    <w:rsid w:val="6B3B7C40"/>
    <w:rsid w:val="6B513D15"/>
    <w:rsid w:val="6BA71D81"/>
    <w:rsid w:val="6E3B0989"/>
    <w:rsid w:val="70943D3A"/>
    <w:rsid w:val="70AC4064"/>
    <w:rsid w:val="72DF7D38"/>
    <w:rsid w:val="73CA3C76"/>
    <w:rsid w:val="75EF4F1B"/>
    <w:rsid w:val="79C97153"/>
    <w:rsid w:val="7ABF0D10"/>
    <w:rsid w:val="7BB7631A"/>
    <w:rsid w:val="7C576399"/>
    <w:rsid w:val="7D2331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eastAsia="仿宋" w:asciiTheme="minorAscii" w:hAnsiTheme="minorAscii" w:cstheme="minorBidi"/>
      <w:kern w:val="2"/>
      <w:sz w:val="32"/>
      <w:szCs w:val="24"/>
      <w:lang w:val="en-US" w:eastAsia="zh-CN" w:bidi="ar-SA"/>
    </w:rPr>
  </w:style>
  <w:style w:type="paragraph" w:styleId="4">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5">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10">
    <w:name w:val="Default Paragraph Font"/>
    <w:autoRedefine/>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3"/>
    <w:next w:val="3"/>
    <w:autoRedefine/>
    <w:qFormat/>
    <w:uiPriority w:val="0"/>
    <w:pPr>
      <w:widowControl/>
      <w:adjustRightInd w:val="0"/>
      <w:snapToGrid w:val="0"/>
      <w:spacing w:before="240" w:after="60" w:line="560" w:lineRule="exact"/>
      <w:jc w:val="left"/>
      <w:outlineLvl w:val="0"/>
    </w:pPr>
    <w:rPr>
      <w:rFonts w:ascii="仿宋_GB2312" w:hAnsi="Calibri" w:eastAsia="仿宋_GB2312" w:cs="Times New Roman"/>
      <w:color w:val="FF0000"/>
      <w:spacing w:val="-3"/>
      <w:kern w:val="0"/>
      <w:sz w:val="24"/>
      <w:szCs w:val="32"/>
      <w:lang w:val="en-US" w:eastAsia="zh-CN" w:bidi="ar-SA"/>
    </w:rPr>
  </w:style>
  <w:style w:type="paragraph" w:styleId="3">
    <w:name w:val="Title"/>
    <w:basedOn w:val="1"/>
    <w:next w:val="1"/>
    <w:autoRedefine/>
    <w:qFormat/>
    <w:uiPriority w:val="0"/>
    <w:pPr>
      <w:widowControl/>
      <w:spacing w:before="240" w:after="60" w:line="560" w:lineRule="exact"/>
      <w:jc w:val="center"/>
      <w:outlineLvl w:val="0"/>
    </w:pPr>
    <w:rPr>
      <w:rFonts w:ascii="Arial" w:hAnsi="Arial" w:eastAsia="华文中宋" w:cs="Arial"/>
      <w:b/>
      <w:bCs/>
      <w:color w:val="FF0000"/>
      <w:kern w:val="0"/>
      <w:sz w:val="84"/>
      <w:szCs w:val="32"/>
      <w:lang w:val="en-US" w:eastAsia="zh-CN" w:bidi="ar-SA"/>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styleId="11">
    <w:name w:val="Strong"/>
    <w:basedOn w:val="10"/>
    <w:autoRedefine/>
    <w:qFormat/>
    <w:uiPriority w:val="0"/>
    <w:rPr>
      <w:b/>
    </w:rPr>
  </w:style>
  <w:style w:type="character" w:styleId="12">
    <w:name w:val="Hyperlink"/>
    <w:basedOn w:val="10"/>
    <w:autoRedefine/>
    <w:qFormat/>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4821</Words>
  <Characters>4866</Characters>
  <Lines>0</Lines>
  <Paragraphs>0</Paragraphs>
  <TotalTime>9</TotalTime>
  <ScaleCrop>false</ScaleCrop>
  <LinksUpToDate>false</LinksUpToDate>
  <CharactersWithSpaces>4868</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2021-03-21T03:57:00Z</dcterms:created>
  <dc:creator>罗炜</dc:creator>
  <cp:lastModifiedBy>梁琮源</cp:lastModifiedBy>
  <dcterms:modified xsi:type="dcterms:W3CDTF">2026-07-31T01:37:25Z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ICV">
    <vt:lpwstr>3182D52CA58E4A80A73AA1BF89515309</vt:lpwstr>
  </property>
  <property fmtid="{D5CDD505-2E9C-101B-9397-08002B2CF9AE}" pid="4" name="KSOTemplateDocerSaveRecord">
    <vt:lpwstr>eyJoZGlkIjoiZWE2N2ZiZTVjN2VhMjFjNWY0ZGYyOGMxZmE1NTI1NjMiLCJ1c2VySWQiOiIxNjU1MjQwMzA3In0=</vt:lpwstr>
  </property>
</Properties>
</file>